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D90E" w14:textId="396AA928" w:rsidR="00A10FA0" w:rsidRPr="00A10FA0" w:rsidRDefault="00A10FA0" w:rsidP="00A10FA0">
      <w:pPr>
        <w:spacing w:before="44"/>
        <w:ind w:left="147" w:right="84"/>
        <w:jc w:val="center"/>
        <w:outlineLvl w:val="0"/>
        <w:rPr>
          <w:b/>
          <w:bCs/>
          <w:sz w:val="28"/>
          <w:szCs w:val="28"/>
        </w:rPr>
      </w:pPr>
      <w:r>
        <w:rPr>
          <w:b/>
          <w:bCs/>
          <w:color w:val="004275"/>
          <w:spacing w:val="-2"/>
          <w:sz w:val="28"/>
          <w:szCs w:val="28"/>
        </w:rPr>
        <w:t>Opposing Increases in Size and Weight of Large Trucks</w:t>
      </w:r>
    </w:p>
    <w:p w14:paraId="539F64B4" w14:textId="77777777" w:rsidR="00F50593" w:rsidRDefault="00F50593" w:rsidP="00F50593">
      <w:pPr>
        <w:spacing w:before="183" w:line="381" w:lineRule="auto"/>
        <w:ind w:left="2557" w:right="2493"/>
        <w:jc w:val="center"/>
        <w:rPr>
          <w:i/>
        </w:rPr>
      </w:pPr>
      <w:r>
        <w:rPr>
          <w:i/>
          <w:spacing w:val="-2"/>
        </w:rPr>
        <w:t>Submitted</w:t>
      </w:r>
      <w:r>
        <w:rPr>
          <w:i/>
          <w:spacing w:val="-11"/>
        </w:rPr>
        <w:t xml:space="preserve"> </w:t>
      </w:r>
      <w:r>
        <w:rPr>
          <w:i/>
          <w:spacing w:val="-2"/>
        </w:rPr>
        <w:t>by:</w:t>
      </w:r>
      <w:r>
        <w:rPr>
          <w:i/>
          <w:spacing w:val="-10"/>
        </w:rPr>
        <w:t xml:space="preserve"> Road</w:t>
      </w:r>
      <w:r>
        <w:rPr>
          <w:i/>
          <w:spacing w:val="-2"/>
        </w:rPr>
        <w:t>way</w:t>
      </w:r>
      <w:r>
        <w:rPr>
          <w:i/>
          <w:spacing w:val="-11"/>
        </w:rPr>
        <w:t xml:space="preserve"> </w:t>
      </w:r>
      <w:r>
        <w:rPr>
          <w:i/>
          <w:spacing w:val="-2"/>
        </w:rPr>
        <w:t>Safety</w:t>
      </w:r>
      <w:r>
        <w:rPr>
          <w:i/>
          <w:spacing w:val="-10"/>
        </w:rPr>
        <w:t xml:space="preserve"> </w:t>
      </w:r>
      <w:r>
        <w:rPr>
          <w:i/>
          <w:spacing w:val="-2"/>
        </w:rPr>
        <w:t xml:space="preserve">Committee </w:t>
      </w:r>
    </w:p>
    <w:p w14:paraId="24E733AB" w14:textId="77777777" w:rsidR="00F50593" w:rsidRDefault="00F50593" w:rsidP="00F50593">
      <w:pPr>
        <w:pStyle w:val="BodyText"/>
        <w:spacing w:before="42"/>
        <w:rPr>
          <w:i/>
        </w:rPr>
      </w:pPr>
    </w:p>
    <w:p w14:paraId="54B5FEA3" w14:textId="77777777" w:rsidR="00F50593" w:rsidRPr="00FA2E37" w:rsidRDefault="00F50593" w:rsidP="00F50593">
      <w:pPr>
        <w:pStyle w:val="BodyText"/>
        <w:spacing w:line="273" w:lineRule="auto"/>
        <w:ind w:left="100" w:right="266"/>
      </w:pPr>
      <w:proofErr w:type="gramStart"/>
      <w:r w:rsidRPr="00FA2E37">
        <w:rPr>
          <w:spacing w:val="-2"/>
        </w:rPr>
        <w:t>WHEREAS,</w:t>
      </w:r>
      <w:proofErr w:type="gramEnd"/>
      <w:r w:rsidRPr="00FA2E37">
        <w:rPr>
          <w:spacing w:val="-7"/>
        </w:rPr>
        <w:t xml:space="preserve"> </w:t>
      </w:r>
      <w:r w:rsidRPr="00FA2E37">
        <w:rPr>
          <w:spacing w:val="-2"/>
        </w:rPr>
        <w:t>the</w:t>
      </w:r>
      <w:r w:rsidRPr="00FA2E37">
        <w:rPr>
          <w:spacing w:val="-9"/>
        </w:rPr>
        <w:t xml:space="preserve"> </w:t>
      </w:r>
      <w:r w:rsidRPr="00FA2E37">
        <w:rPr>
          <w:spacing w:val="-2"/>
        </w:rPr>
        <w:t>International</w:t>
      </w:r>
      <w:r w:rsidRPr="00FA2E37">
        <w:rPr>
          <w:spacing w:val="11"/>
        </w:rPr>
        <w:t xml:space="preserve"> </w:t>
      </w:r>
      <w:r w:rsidRPr="00FA2E37">
        <w:rPr>
          <w:spacing w:val="-2"/>
        </w:rPr>
        <w:t>Association</w:t>
      </w:r>
      <w:r w:rsidRPr="00FA2E37">
        <w:rPr>
          <w:spacing w:val="-15"/>
        </w:rPr>
        <w:t xml:space="preserve"> </w:t>
      </w:r>
      <w:r w:rsidRPr="00FA2E37">
        <w:rPr>
          <w:spacing w:val="-2"/>
        </w:rPr>
        <w:t>of</w:t>
      </w:r>
      <w:r w:rsidRPr="00FA2E37">
        <w:rPr>
          <w:spacing w:val="-8"/>
        </w:rPr>
        <w:t xml:space="preserve"> </w:t>
      </w:r>
      <w:r w:rsidRPr="00FA2E37">
        <w:rPr>
          <w:spacing w:val="-2"/>
        </w:rPr>
        <w:t>Chiefs of</w:t>
      </w:r>
      <w:r w:rsidRPr="00FA2E37">
        <w:rPr>
          <w:spacing w:val="-8"/>
        </w:rPr>
        <w:t xml:space="preserve"> </w:t>
      </w:r>
      <w:r w:rsidRPr="00FA2E37">
        <w:rPr>
          <w:spacing w:val="-2"/>
        </w:rPr>
        <w:t>Police</w:t>
      </w:r>
      <w:r w:rsidRPr="00FA2E37">
        <w:rPr>
          <w:spacing w:val="-8"/>
        </w:rPr>
        <w:t xml:space="preserve"> </w:t>
      </w:r>
      <w:r w:rsidRPr="00FA2E37">
        <w:rPr>
          <w:spacing w:val="-2"/>
        </w:rPr>
        <w:t>(IACP)</w:t>
      </w:r>
      <w:r w:rsidRPr="00FA2E37">
        <w:rPr>
          <w:spacing w:val="-8"/>
        </w:rPr>
        <w:t xml:space="preserve"> </w:t>
      </w:r>
      <w:r w:rsidRPr="00FA2E37">
        <w:rPr>
          <w:spacing w:val="-2"/>
        </w:rPr>
        <w:t>is concerned</w:t>
      </w:r>
      <w:r w:rsidRPr="00FA2E37">
        <w:rPr>
          <w:spacing w:val="-8"/>
        </w:rPr>
        <w:t xml:space="preserve"> </w:t>
      </w:r>
      <w:r w:rsidRPr="00FA2E37">
        <w:rPr>
          <w:spacing w:val="-2"/>
        </w:rPr>
        <w:t>with</w:t>
      </w:r>
      <w:r w:rsidRPr="00FA2E37">
        <w:rPr>
          <w:spacing w:val="-8"/>
        </w:rPr>
        <w:t xml:space="preserve"> </w:t>
      </w:r>
      <w:r w:rsidRPr="00FA2E37">
        <w:rPr>
          <w:spacing w:val="-2"/>
        </w:rPr>
        <w:t>the</w:t>
      </w:r>
      <w:r w:rsidRPr="00FA2E37">
        <w:rPr>
          <w:spacing w:val="-9"/>
        </w:rPr>
        <w:t xml:space="preserve"> </w:t>
      </w:r>
      <w:r w:rsidRPr="00FA2E37">
        <w:rPr>
          <w:spacing w:val="-2"/>
        </w:rPr>
        <w:t>safety</w:t>
      </w:r>
      <w:r w:rsidRPr="00FA2E37">
        <w:rPr>
          <w:spacing w:val="-3"/>
        </w:rPr>
        <w:t xml:space="preserve"> </w:t>
      </w:r>
      <w:r w:rsidRPr="00FA2E37">
        <w:rPr>
          <w:spacing w:val="-2"/>
        </w:rPr>
        <w:t xml:space="preserve">of </w:t>
      </w:r>
      <w:r w:rsidRPr="00FA2E37">
        <w:t>motorists</w:t>
      </w:r>
      <w:r w:rsidRPr="00FA2E37">
        <w:rPr>
          <w:spacing w:val="-1"/>
        </w:rPr>
        <w:t xml:space="preserve"> </w:t>
      </w:r>
      <w:r w:rsidRPr="00FA2E37">
        <w:t>on</w:t>
      </w:r>
      <w:r w:rsidRPr="00FA2E37">
        <w:rPr>
          <w:spacing w:val="-8"/>
        </w:rPr>
        <w:t xml:space="preserve"> </w:t>
      </w:r>
      <w:r w:rsidRPr="00FA2E37">
        <w:t>U.S.</w:t>
      </w:r>
      <w:r w:rsidRPr="00FA2E37">
        <w:rPr>
          <w:spacing w:val="-1"/>
        </w:rPr>
        <w:t xml:space="preserve"> </w:t>
      </w:r>
      <w:r w:rsidRPr="00FA2E37">
        <w:t>roadways</w:t>
      </w:r>
      <w:r w:rsidRPr="00FA2E37">
        <w:rPr>
          <w:spacing w:val="-1"/>
        </w:rPr>
        <w:t xml:space="preserve"> </w:t>
      </w:r>
      <w:r w:rsidRPr="00FA2E37">
        <w:t>and</w:t>
      </w:r>
      <w:r w:rsidRPr="00FA2E37">
        <w:rPr>
          <w:spacing w:val="-9"/>
        </w:rPr>
        <w:t xml:space="preserve"> </w:t>
      </w:r>
      <w:r w:rsidRPr="00FA2E37">
        <w:t>the</w:t>
      </w:r>
      <w:r w:rsidRPr="00FA2E37">
        <w:rPr>
          <w:spacing w:val="-3"/>
        </w:rPr>
        <w:t xml:space="preserve"> </w:t>
      </w:r>
      <w:r w:rsidRPr="00FA2E37">
        <w:t>reliability of</w:t>
      </w:r>
      <w:r w:rsidRPr="00FA2E37">
        <w:rPr>
          <w:spacing w:val="-8"/>
        </w:rPr>
        <w:t xml:space="preserve"> </w:t>
      </w:r>
      <w:r w:rsidRPr="00FA2E37">
        <w:t>the</w:t>
      </w:r>
      <w:r w:rsidRPr="00FA2E37">
        <w:rPr>
          <w:spacing w:val="-9"/>
        </w:rPr>
        <w:t xml:space="preserve"> </w:t>
      </w:r>
      <w:r w:rsidRPr="00FA2E37">
        <w:t>U.S.</w:t>
      </w:r>
      <w:r w:rsidRPr="00FA2E37">
        <w:rPr>
          <w:spacing w:val="-8"/>
        </w:rPr>
        <w:t xml:space="preserve"> </w:t>
      </w:r>
      <w:r w:rsidRPr="00FA2E37">
        <w:t>infrastructure;</w:t>
      </w:r>
      <w:r w:rsidRPr="00FA2E37">
        <w:rPr>
          <w:spacing w:val="-4"/>
        </w:rPr>
        <w:t xml:space="preserve"> </w:t>
      </w:r>
      <w:r w:rsidRPr="00FA2E37">
        <w:t>and</w:t>
      </w:r>
    </w:p>
    <w:p w14:paraId="64F6930C" w14:textId="77777777" w:rsidR="00F50593" w:rsidRPr="00FA2E37" w:rsidRDefault="00F50593" w:rsidP="00F50593">
      <w:pPr>
        <w:pStyle w:val="BodyText"/>
        <w:spacing w:before="38"/>
      </w:pPr>
    </w:p>
    <w:p w14:paraId="62741969" w14:textId="77777777" w:rsidR="00F50593" w:rsidRPr="00FA2E37" w:rsidRDefault="00F50593" w:rsidP="00F50593">
      <w:pPr>
        <w:pStyle w:val="BodyText"/>
        <w:ind w:left="100"/>
      </w:pPr>
      <w:r w:rsidRPr="00FA2E37">
        <w:rPr>
          <w:spacing w:val="-2"/>
        </w:rPr>
        <w:t>WHEREAS,</w:t>
      </w:r>
      <w:r w:rsidRPr="00FA2E37">
        <w:rPr>
          <w:spacing w:val="-9"/>
        </w:rPr>
        <w:t xml:space="preserve"> </w:t>
      </w:r>
      <w:r w:rsidRPr="00FA2E37">
        <w:rPr>
          <w:spacing w:val="-2"/>
        </w:rPr>
        <w:t>in 2021,</w:t>
      </w:r>
      <w:r w:rsidRPr="00FA2E37">
        <w:rPr>
          <w:spacing w:val="-9"/>
        </w:rPr>
        <w:t xml:space="preserve"> </w:t>
      </w:r>
      <w:r w:rsidRPr="00FA2E37">
        <w:rPr>
          <w:spacing w:val="-2"/>
        </w:rPr>
        <w:t>there</w:t>
      </w:r>
      <w:r w:rsidRPr="00FA2E37">
        <w:rPr>
          <w:spacing w:val="-10"/>
        </w:rPr>
        <w:t xml:space="preserve"> </w:t>
      </w:r>
      <w:r w:rsidRPr="00FA2E37">
        <w:rPr>
          <w:spacing w:val="-2"/>
        </w:rPr>
        <w:t>were</w:t>
      </w:r>
      <w:r w:rsidRPr="00FA2E37">
        <w:rPr>
          <w:spacing w:val="-10"/>
        </w:rPr>
        <w:t xml:space="preserve"> </w:t>
      </w:r>
      <w:r w:rsidRPr="00FA2E37">
        <w:rPr>
          <w:spacing w:val="-2"/>
        </w:rPr>
        <w:t>5,788 people</w:t>
      </w:r>
      <w:r w:rsidRPr="00FA2E37">
        <w:rPr>
          <w:spacing w:val="-10"/>
        </w:rPr>
        <w:t xml:space="preserve"> </w:t>
      </w:r>
      <w:r w:rsidRPr="00FA2E37">
        <w:rPr>
          <w:spacing w:val="-2"/>
        </w:rPr>
        <w:t>killed</w:t>
      </w:r>
      <w:r w:rsidRPr="00FA2E37">
        <w:rPr>
          <w:spacing w:val="-10"/>
        </w:rPr>
        <w:t xml:space="preserve"> </w:t>
      </w:r>
      <w:r w:rsidRPr="00FA2E37">
        <w:rPr>
          <w:spacing w:val="-2"/>
        </w:rPr>
        <w:t>in</w:t>
      </w:r>
      <w:r w:rsidRPr="00FA2E37">
        <w:rPr>
          <w:spacing w:val="-17"/>
        </w:rPr>
        <w:t xml:space="preserve"> </w:t>
      </w:r>
      <w:r w:rsidRPr="00FA2E37">
        <w:rPr>
          <w:spacing w:val="-2"/>
        </w:rPr>
        <w:t>traffic</w:t>
      </w:r>
      <w:r w:rsidRPr="00FA2E37">
        <w:rPr>
          <w:spacing w:val="1"/>
        </w:rPr>
        <w:t xml:space="preserve"> </w:t>
      </w:r>
      <w:r w:rsidRPr="00FA2E37">
        <w:rPr>
          <w:spacing w:val="-2"/>
        </w:rPr>
        <w:t>crashes</w:t>
      </w:r>
      <w:r w:rsidRPr="00FA2E37">
        <w:rPr>
          <w:spacing w:val="-10"/>
        </w:rPr>
        <w:t xml:space="preserve"> </w:t>
      </w:r>
      <w:r w:rsidRPr="00FA2E37">
        <w:rPr>
          <w:spacing w:val="-2"/>
        </w:rPr>
        <w:t>involving</w:t>
      </w:r>
      <w:r w:rsidRPr="00FA2E37">
        <w:rPr>
          <w:spacing w:val="-16"/>
        </w:rPr>
        <w:t xml:space="preserve"> </w:t>
      </w:r>
      <w:r w:rsidRPr="00FA2E37">
        <w:rPr>
          <w:spacing w:val="-2"/>
        </w:rPr>
        <w:t>large</w:t>
      </w:r>
      <w:r w:rsidRPr="00FA2E37">
        <w:rPr>
          <w:spacing w:val="-10"/>
        </w:rPr>
        <w:t xml:space="preserve"> </w:t>
      </w:r>
      <w:proofErr w:type="gramStart"/>
      <w:r w:rsidRPr="00FA2E37">
        <w:rPr>
          <w:spacing w:val="-2"/>
        </w:rPr>
        <w:t>trucks;</w:t>
      </w:r>
      <w:proofErr w:type="gramEnd"/>
      <w:r w:rsidRPr="00FA2E37">
        <w:rPr>
          <w:rStyle w:val="FootnoteReference"/>
          <w:spacing w:val="-2"/>
        </w:rPr>
        <w:footnoteReference w:id="1"/>
      </w:r>
      <w:r w:rsidRPr="00FA2E37">
        <w:rPr>
          <w:spacing w:val="-2"/>
        </w:rPr>
        <w:t xml:space="preserve"> </w:t>
      </w:r>
      <w:r w:rsidRPr="00FA2E37">
        <w:rPr>
          <w:spacing w:val="-5"/>
        </w:rPr>
        <w:t>and</w:t>
      </w:r>
    </w:p>
    <w:p w14:paraId="1AFFBA1F" w14:textId="77777777" w:rsidR="00F50593" w:rsidRPr="00FA2E37" w:rsidRDefault="00F50593" w:rsidP="00F50593">
      <w:pPr>
        <w:pStyle w:val="BodyText"/>
        <w:spacing w:before="87"/>
      </w:pPr>
    </w:p>
    <w:p w14:paraId="5F93FD18" w14:textId="358E5145" w:rsidR="00F50593" w:rsidRPr="00FA2E37" w:rsidRDefault="00F50593" w:rsidP="00F50593">
      <w:pPr>
        <w:pStyle w:val="BodyText"/>
        <w:spacing w:line="278" w:lineRule="auto"/>
        <w:ind w:left="100" w:right="266"/>
      </w:pPr>
      <w:r w:rsidRPr="00FA2E37">
        <w:rPr>
          <w:spacing w:val="-2"/>
        </w:rPr>
        <w:t>WHEREAS,</w:t>
      </w:r>
      <w:r w:rsidRPr="00FA2E37">
        <w:rPr>
          <w:spacing w:val="-6"/>
        </w:rPr>
        <w:t xml:space="preserve"> </w:t>
      </w:r>
      <w:r w:rsidRPr="00FA2E37">
        <w:t>in 2021, overall crashes involving large trucks increased by 26% over 2020</w:t>
      </w:r>
      <w:r w:rsidRPr="00FA2E37">
        <w:rPr>
          <w:rStyle w:val="FootnoteReference"/>
        </w:rPr>
        <w:footnoteReference w:id="2"/>
      </w:r>
      <w:r w:rsidR="0093462E" w:rsidRPr="0093462E">
        <w:t>,</w:t>
      </w:r>
      <w:r w:rsidRPr="00FA2E37">
        <w:rPr>
          <w:color w:val="FF0000"/>
        </w:rPr>
        <w:t xml:space="preserve"> </w:t>
      </w:r>
      <w:r w:rsidRPr="00FA2E37">
        <w:t>and</w:t>
      </w:r>
    </w:p>
    <w:p w14:paraId="4B6166A6" w14:textId="77777777" w:rsidR="00F50593" w:rsidRPr="00FA2E37" w:rsidRDefault="00F50593" w:rsidP="00F50593">
      <w:pPr>
        <w:pStyle w:val="BodyText"/>
        <w:spacing w:before="87"/>
      </w:pPr>
    </w:p>
    <w:p w14:paraId="72ABBB7A" w14:textId="77777777" w:rsidR="00F50593" w:rsidRPr="00152A54" w:rsidRDefault="00F50593" w:rsidP="00F50593">
      <w:pPr>
        <w:pStyle w:val="BodyText"/>
        <w:spacing w:line="278" w:lineRule="auto"/>
        <w:ind w:left="100" w:right="1367"/>
      </w:pPr>
      <w:r w:rsidRPr="00152A54">
        <w:t>WHEREAS,</w:t>
      </w:r>
      <w:r w:rsidRPr="00152A54">
        <w:rPr>
          <w:spacing w:val="-13"/>
        </w:rPr>
        <w:t xml:space="preserve"> </w:t>
      </w:r>
      <w:r w:rsidRPr="00152A54">
        <w:rPr>
          <w:spacing w:val="-10"/>
        </w:rPr>
        <w:t>in 2021 single-vehicle crashes (including crashes that involved a bicyclist, pedestrian, nonmotorized vehicle, etc.) made up 21 percent of all fatal crashes, and 14 percent of all injury crashes involving large trucks. The majority (62 percent) of fatal large truck crashes involved two vehicles</w:t>
      </w:r>
      <w:r w:rsidRPr="00152A54">
        <w:rPr>
          <w:rStyle w:val="FootnoteReference"/>
        </w:rPr>
        <w:footnoteReference w:id="3"/>
      </w:r>
      <w:r w:rsidRPr="00152A54">
        <w:rPr>
          <w:spacing w:val="-10"/>
        </w:rPr>
        <w:t>;</w:t>
      </w:r>
      <w:r w:rsidRPr="00152A54">
        <w:t xml:space="preserve"> and</w:t>
      </w:r>
    </w:p>
    <w:p w14:paraId="41443AF8" w14:textId="77777777" w:rsidR="00F50593" w:rsidRPr="00FA2E37" w:rsidRDefault="00F50593" w:rsidP="00F50593">
      <w:pPr>
        <w:pStyle w:val="BodyText"/>
        <w:spacing w:line="278" w:lineRule="auto"/>
        <w:ind w:left="100" w:right="1367"/>
      </w:pPr>
    </w:p>
    <w:p w14:paraId="534F9046" w14:textId="595B6C27" w:rsidR="00F50593" w:rsidRDefault="00F50593" w:rsidP="00152A54">
      <w:pPr>
        <w:pStyle w:val="BodyText"/>
        <w:spacing w:before="32"/>
        <w:ind w:left="100"/>
      </w:pPr>
      <w:r w:rsidRPr="00FA2E37">
        <w:t>WHEREAS, in 2022, the number of people killed in traffic crashes involving large trucks increased by 2 percent over 2021.</w:t>
      </w:r>
      <w:r w:rsidRPr="00FA2E37">
        <w:rPr>
          <w:rStyle w:val="FootnoteReference"/>
        </w:rPr>
        <w:footnoteReference w:id="4"/>
      </w:r>
      <w:r w:rsidRPr="00FA2E37">
        <w:t xml:space="preserve"> Among fatalities in traffic crashes involving large trucks in 2022, large-truck occupant fatalities in single-vehicle crashes increased by 5-percent over 2021.</w:t>
      </w:r>
      <w:r w:rsidRPr="00FA2E37">
        <w:rPr>
          <w:rStyle w:val="FootnoteReference"/>
        </w:rPr>
        <w:footnoteReference w:id="5"/>
      </w:r>
      <w:r w:rsidRPr="00FA2E37">
        <w:t xml:space="preserve"> Large-truck occupant fatalities in multi-vehicle crashes increased by 13 percent over 2021</w:t>
      </w:r>
      <w:r w:rsidRPr="00FA2E37">
        <w:rPr>
          <w:rStyle w:val="FootnoteReference"/>
        </w:rPr>
        <w:footnoteReference w:id="6"/>
      </w:r>
      <w:r w:rsidRPr="00FA2E37">
        <w:t xml:space="preserve">; and </w:t>
      </w:r>
    </w:p>
    <w:p w14:paraId="2757089A" w14:textId="77777777" w:rsidR="00152A54" w:rsidRDefault="00152A54" w:rsidP="00F50593">
      <w:pPr>
        <w:pStyle w:val="BodyText"/>
        <w:spacing w:line="278" w:lineRule="auto"/>
        <w:ind w:left="100" w:right="854"/>
      </w:pPr>
    </w:p>
    <w:p w14:paraId="2E5EA147" w14:textId="33BAFBB4" w:rsidR="00F50593" w:rsidRPr="00FA2E37" w:rsidRDefault="00F50593" w:rsidP="00F50593">
      <w:pPr>
        <w:pStyle w:val="BodyText"/>
        <w:spacing w:line="278" w:lineRule="auto"/>
        <w:ind w:left="100" w:right="854"/>
      </w:pPr>
      <w:r w:rsidRPr="00FA2E37">
        <w:t>WHEREAS,</w:t>
      </w:r>
      <w:r w:rsidRPr="00FA2E37">
        <w:rPr>
          <w:spacing w:val="-13"/>
        </w:rPr>
        <w:t xml:space="preserve"> </w:t>
      </w:r>
      <w:r w:rsidRPr="00FA2E37">
        <w:t>in 2021, large-truck occupant fatalities increased 8 percent over 2020;</w:t>
      </w:r>
      <w:r w:rsidRPr="00FA2E37">
        <w:rPr>
          <w:rStyle w:val="FootnoteReference"/>
        </w:rPr>
        <w:footnoteReference w:id="7"/>
      </w:r>
      <w:r w:rsidRPr="00FA2E37">
        <w:t xml:space="preserve"> and</w:t>
      </w:r>
    </w:p>
    <w:p w14:paraId="7F5DDE15" w14:textId="77777777" w:rsidR="00F50593" w:rsidRPr="00FA2E37" w:rsidRDefault="00F50593" w:rsidP="00F50593">
      <w:pPr>
        <w:pStyle w:val="BodyText"/>
        <w:spacing w:before="27"/>
      </w:pPr>
    </w:p>
    <w:p w14:paraId="4F1DBBCC" w14:textId="77777777" w:rsidR="00F50593" w:rsidRPr="00FA2E37" w:rsidRDefault="00F50593" w:rsidP="00F50593">
      <w:pPr>
        <w:pStyle w:val="BodyText"/>
        <w:ind w:left="100"/>
      </w:pPr>
      <w:r w:rsidRPr="00FA2E37">
        <w:rPr>
          <w:spacing w:val="-2"/>
        </w:rPr>
        <w:t xml:space="preserve">WHEREAS, </w:t>
      </w:r>
      <w:r w:rsidRPr="00FA2E37">
        <w:rPr>
          <w:spacing w:val="-10"/>
        </w:rPr>
        <w:t>in 2021, 33 percent of work zone fatal crashes and 15 percent of work zone injury crashes involved at least one large truck;</w:t>
      </w:r>
      <w:r w:rsidRPr="00FA2E37">
        <w:rPr>
          <w:rStyle w:val="FootnoteReference"/>
        </w:rPr>
        <w:footnoteReference w:id="8"/>
      </w:r>
      <w:r w:rsidRPr="00FA2E37">
        <w:rPr>
          <w:spacing w:val="-5"/>
        </w:rPr>
        <w:t xml:space="preserve"> and</w:t>
      </w:r>
    </w:p>
    <w:p w14:paraId="42BA57CD" w14:textId="77777777" w:rsidR="00F50593" w:rsidRPr="00FA2E37" w:rsidRDefault="00F50593" w:rsidP="00F50593">
      <w:pPr>
        <w:pStyle w:val="BodyText"/>
        <w:spacing w:before="93"/>
      </w:pPr>
    </w:p>
    <w:p w14:paraId="6C2C7CB2" w14:textId="77777777" w:rsidR="008C68FC" w:rsidRDefault="00017EBB" w:rsidP="00F50593">
      <w:pPr>
        <w:pStyle w:val="BodyText"/>
        <w:spacing w:line="268" w:lineRule="auto"/>
        <w:ind w:left="100" w:right="854"/>
        <w:rPr>
          <w:spacing w:val="-2"/>
        </w:rPr>
      </w:pPr>
      <w:proofErr w:type="gramStart"/>
      <w:r>
        <w:rPr>
          <w:spacing w:val="-2"/>
        </w:rPr>
        <w:t>WHEREAS,</w:t>
      </w:r>
      <w:proofErr w:type="gramEnd"/>
      <w:r>
        <w:rPr>
          <w:spacing w:val="-2"/>
        </w:rPr>
        <w:t xml:space="preserve"> the heavier the vehicle, the more stopping distance </w:t>
      </w:r>
      <w:r w:rsidR="008C68FC">
        <w:rPr>
          <w:spacing w:val="-2"/>
        </w:rPr>
        <w:t>required to come to a complete stop. Allowing heavier trucks will increase stopping distances and lead to more and/or more severe crashes.</w:t>
      </w:r>
    </w:p>
    <w:p w14:paraId="520AFD42" w14:textId="77777777" w:rsidR="00F50593" w:rsidRPr="00FA2E37" w:rsidRDefault="00F50593" w:rsidP="00F50593">
      <w:pPr>
        <w:pStyle w:val="BodyText"/>
        <w:spacing w:before="48"/>
      </w:pPr>
    </w:p>
    <w:p w14:paraId="0AA2B1D6" w14:textId="790EF981" w:rsidR="00F50593" w:rsidRPr="00FA2E37" w:rsidRDefault="00F50593" w:rsidP="00F50593">
      <w:pPr>
        <w:pStyle w:val="BodyText"/>
        <w:spacing w:before="59" w:line="273" w:lineRule="auto"/>
        <w:ind w:left="100" w:right="255"/>
      </w:pPr>
      <w:proofErr w:type="gramStart"/>
      <w:r w:rsidRPr="00FA2E37">
        <w:t>WHEREAS,</w:t>
      </w:r>
      <w:proofErr w:type="gramEnd"/>
      <w:r w:rsidRPr="00FA2E37">
        <w:rPr>
          <w:spacing w:val="-13"/>
        </w:rPr>
        <w:t xml:space="preserve"> </w:t>
      </w:r>
      <w:r w:rsidRPr="00FA2E37">
        <w:t>an</w:t>
      </w:r>
      <w:r w:rsidRPr="00FA2E37">
        <w:rPr>
          <w:spacing w:val="-12"/>
        </w:rPr>
        <w:t xml:space="preserve"> </w:t>
      </w:r>
      <w:r w:rsidRPr="00FA2E37">
        <w:t>increase</w:t>
      </w:r>
      <w:r w:rsidRPr="00FA2E37">
        <w:rPr>
          <w:spacing w:val="-13"/>
        </w:rPr>
        <w:t xml:space="preserve"> </w:t>
      </w:r>
      <w:r w:rsidRPr="00FA2E37">
        <w:t>in</w:t>
      </w:r>
      <w:r w:rsidRPr="00FA2E37">
        <w:rPr>
          <w:spacing w:val="-12"/>
        </w:rPr>
        <w:t xml:space="preserve"> </w:t>
      </w:r>
      <w:r w:rsidRPr="00FA2E37">
        <w:t>truck</w:t>
      </w:r>
      <w:r w:rsidRPr="00FA2E37">
        <w:rPr>
          <w:spacing w:val="-13"/>
        </w:rPr>
        <w:t xml:space="preserve"> </w:t>
      </w:r>
      <w:r w:rsidRPr="00FA2E37">
        <w:t>size</w:t>
      </w:r>
      <w:r w:rsidRPr="00FA2E37">
        <w:rPr>
          <w:spacing w:val="-12"/>
        </w:rPr>
        <w:t xml:space="preserve"> </w:t>
      </w:r>
      <w:r w:rsidRPr="00FA2E37">
        <w:t>and</w:t>
      </w:r>
      <w:r w:rsidRPr="00FA2E37">
        <w:rPr>
          <w:spacing w:val="-17"/>
        </w:rPr>
        <w:t xml:space="preserve"> </w:t>
      </w:r>
      <w:r w:rsidRPr="00FA2E37">
        <w:t>weight</w:t>
      </w:r>
      <w:r w:rsidRPr="00FA2E37">
        <w:rPr>
          <w:spacing w:val="-13"/>
        </w:rPr>
        <w:t xml:space="preserve"> </w:t>
      </w:r>
      <w:r w:rsidRPr="00FA2E37">
        <w:t>would</w:t>
      </w:r>
      <w:r w:rsidRPr="00FA2E37">
        <w:rPr>
          <w:spacing w:val="-16"/>
        </w:rPr>
        <w:t xml:space="preserve"> </w:t>
      </w:r>
      <w:r w:rsidRPr="00FA2E37">
        <w:t>place</w:t>
      </w:r>
      <w:r w:rsidRPr="00FA2E37">
        <w:rPr>
          <w:spacing w:val="-12"/>
        </w:rPr>
        <w:t xml:space="preserve"> </w:t>
      </w:r>
      <w:r w:rsidRPr="00FA2E37">
        <w:t>an</w:t>
      </w:r>
      <w:r w:rsidRPr="00FA2E37">
        <w:rPr>
          <w:spacing w:val="-12"/>
        </w:rPr>
        <w:t xml:space="preserve"> </w:t>
      </w:r>
      <w:r w:rsidRPr="00FA2E37">
        <w:t>increased</w:t>
      </w:r>
      <w:r w:rsidRPr="00FA2E37">
        <w:rPr>
          <w:spacing w:val="-13"/>
        </w:rPr>
        <w:t xml:space="preserve"> </w:t>
      </w:r>
      <w:r w:rsidRPr="00FA2E37">
        <w:t>burden</w:t>
      </w:r>
      <w:r w:rsidRPr="00FA2E37">
        <w:rPr>
          <w:spacing w:val="-16"/>
        </w:rPr>
        <w:t xml:space="preserve"> </w:t>
      </w:r>
      <w:r w:rsidRPr="00FA2E37">
        <w:t>on</w:t>
      </w:r>
      <w:r w:rsidRPr="00FA2E37">
        <w:rPr>
          <w:spacing w:val="-12"/>
        </w:rPr>
        <w:t xml:space="preserve"> </w:t>
      </w:r>
      <w:r w:rsidRPr="00FA2E37">
        <w:t>an</w:t>
      </w:r>
      <w:r w:rsidRPr="00FA2E37">
        <w:rPr>
          <w:spacing w:val="-13"/>
        </w:rPr>
        <w:t xml:space="preserve"> </w:t>
      </w:r>
      <w:r w:rsidRPr="00FA2E37">
        <w:t>already</w:t>
      </w:r>
      <w:r w:rsidRPr="00FA2E37">
        <w:rPr>
          <w:spacing w:val="-12"/>
        </w:rPr>
        <w:t xml:space="preserve"> </w:t>
      </w:r>
      <w:r w:rsidRPr="00FA2E37">
        <w:t>short- staffed</w:t>
      </w:r>
      <w:r w:rsidRPr="00FA2E37">
        <w:rPr>
          <w:spacing w:val="-4"/>
        </w:rPr>
        <w:t xml:space="preserve"> </w:t>
      </w:r>
      <w:r w:rsidRPr="00FA2E37">
        <w:t>number</w:t>
      </w:r>
      <w:r w:rsidRPr="00FA2E37">
        <w:rPr>
          <w:spacing w:val="-2"/>
        </w:rPr>
        <w:t xml:space="preserve"> </w:t>
      </w:r>
      <w:r w:rsidRPr="00FA2E37">
        <w:t>of trained</w:t>
      </w:r>
      <w:r w:rsidRPr="00FA2E37">
        <w:rPr>
          <w:spacing w:val="-12"/>
        </w:rPr>
        <w:t xml:space="preserve"> </w:t>
      </w:r>
      <w:r w:rsidRPr="00FA2E37">
        <w:t>commercial vehicle enforcement</w:t>
      </w:r>
      <w:r w:rsidRPr="00FA2E37">
        <w:rPr>
          <w:spacing w:val="-11"/>
        </w:rPr>
        <w:t xml:space="preserve"> </w:t>
      </w:r>
      <w:r w:rsidRPr="00FA2E37">
        <w:t>officers;</w:t>
      </w:r>
      <w:r w:rsidRPr="00FA2E37">
        <w:rPr>
          <w:spacing w:val="-7"/>
        </w:rPr>
        <w:t xml:space="preserve"> </w:t>
      </w:r>
      <w:r w:rsidRPr="00FA2E37">
        <w:t>and WHEREAS,</w:t>
      </w:r>
      <w:r w:rsidRPr="00FA2E37">
        <w:rPr>
          <w:spacing w:val="-13"/>
        </w:rPr>
        <w:t xml:space="preserve"> </w:t>
      </w:r>
      <w:r w:rsidRPr="00FA2E37">
        <w:t xml:space="preserve">analysis of the recently released 2024 U.S. Department of Transportation (DOT) National Bridge Inventory (NBI) database finds that 36 percent of all U.S. bridges—nearly 221,800 spans—require major repair work </w:t>
      </w:r>
      <w:r w:rsidRPr="00FA2E37">
        <w:lastRenderedPageBreak/>
        <w:t>or replacement;</w:t>
      </w:r>
      <w:r w:rsidRPr="00FA2E37">
        <w:rPr>
          <w:rStyle w:val="FootnoteReference"/>
        </w:rPr>
        <w:footnoteReference w:id="9"/>
      </w:r>
      <w:r w:rsidRPr="00FA2E37">
        <w:t xml:space="preserve"> and</w:t>
      </w:r>
    </w:p>
    <w:p w14:paraId="1E8D1598" w14:textId="77777777" w:rsidR="00F50593" w:rsidRPr="00FA2E37" w:rsidRDefault="00F50593" w:rsidP="00F50593">
      <w:pPr>
        <w:pStyle w:val="BodyText"/>
        <w:spacing w:before="37"/>
      </w:pPr>
    </w:p>
    <w:p w14:paraId="25821A33" w14:textId="77777777" w:rsidR="00F50593" w:rsidRPr="00FA2E37" w:rsidRDefault="00F50593" w:rsidP="00F50593">
      <w:pPr>
        <w:pStyle w:val="BodyText"/>
        <w:spacing w:line="273" w:lineRule="auto"/>
        <w:ind w:left="100" w:right="180"/>
        <w:jc w:val="both"/>
      </w:pPr>
      <w:proofErr w:type="gramStart"/>
      <w:r w:rsidRPr="00FA2E37">
        <w:t>WHEREAS,</w:t>
      </w:r>
      <w:proofErr w:type="gramEnd"/>
      <w:r w:rsidRPr="00FA2E37">
        <w:t xml:space="preserve"> heavier trucks</w:t>
      </w:r>
      <w:r w:rsidRPr="00FA2E37">
        <w:rPr>
          <w:spacing w:val="-3"/>
        </w:rPr>
        <w:t xml:space="preserve"> </w:t>
      </w:r>
      <w:r w:rsidRPr="00FA2E37">
        <w:t>would deteriorate</w:t>
      </w:r>
      <w:r w:rsidRPr="00FA2E37">
        <w:rPr>
          <w:spacing w:val="-7"/>
        </w:rPr>
        <w:t xml:space="preserve"> </w:t>
      </w:r>
      <w:r w:rsidRPr="00FA2E37">
        <w:t>infrastructure</w:t>
      </w:r>
      <w:r w:rsidRPr="00FA2E37">
        <w:rPr>
          <w:spacing w:val="-6"/>
        </w:rPr>
        <w:t xml:space="preserve"> </w:t>
      </w:r>
      <w:r w:rsidRPr="00FA2E37">
        <w:t>more</w:t>
      </w:r>
      <w:r w:rsidRPr="00FA2E37">
        <w:rPr>
          <w:spacing w:val="-3"/>
        </w:rPr>
        <w:t xml:space="preserve"> </w:t>
      </w:r>
      <w:r w:rsidRPr="00FA2E37">
        <w:t>rapidly, would</w:t>
      </w:r>
      <w:r w:rsidRPr="00FA2E37">
        <w:rPr>
          <w:spacing w:val="-7"/>
        </w:rPr>
        <w:t xml:space="preserve"> </w:t>
      </w:r>
      <w:r w:rsidRPr="00FA2E37">
        <w:t>overtax the</w:t>
      </w:r>
      <w:r w:rsidRPr="00FA2E37">
        <w:rPr>
          <w:spacing w:val="-8"/>
        </w:rPr>
        <w:t xml:space="preserve"> </w:t>
      </w:r>
      <w:r w:rsidRPr="00FA2E37">
        <w:t>suspension and braking</w:t>
      </w:r>
      <w:r w:rsidRPr="00FA2E37">
        <w:rPr>
          <w:spacing w:val="-6"/>
        </w:rPr>
        <w:t xml:space="preserve"> </w:t>
      </w:r>
      <w:r w:rsidRPr="00FA2E37">
        <w:t>systems, impact steering and control, and</w:t>
      </w:r>
      <w:r w:rsidRPr="00FA2E37">
        <w:rPr>
          <w:spacing w:val="-1"/>
        </w:rPr>
        <w:t xml:space="preserve"> </w:t>
      </w:r>
      <w:r w:rsidRPr="00FA2E37">
        <w:t>increase</w:t>
      </w:r>
      <w:r w:rsidRPr="00FA2E37">
        <w:rPr>
          <w:spacing w:val="-1"/>
        </w:rPr>
        <w:t xml:space="preserve"> </w:t>
      </w:r>
      <w:r w:rsidRPr="00FA2E37">
        <w:t>injury severity due to increased kinetic energy in crashes; therefore, be it</w:t>
      </w:r>
    </w:p>
    <w:p w14:paraId="0B33CFED" w14:textId="77777777" w:rsidR="00F50593" w:rsidRPr="00FA2E37" w:rsidRDefault="00F50593" w:rsidP="00F50593">
      <w:pPr>
        <w:pStyle w:val="BodyText"/>
        <w:spacing w:before="50"/>
      </w:pPr>
    </w:p>
    <w:p w14:paraId="5DBC6FD1" w14:textId="77777777" w:rsidR="00F50593" w:rsidRPr="00FA2E37" w:rsidRDefault="00F50593" w:rsidP="00F50593">
      <w:pPr>
        <w:pStyle w:val="BodyText"/>
        <w:spacing w:line="273" w:lineRule="auto"/>
        <w:ind w:left="100" w:right="266"/>
        <w:rPr>
          <w:b/>
        </w:rPr>
      </w:pPr>
      <w:r w:rsidRPr="00FA2E37">
        <w:t>RESOLVED,</w:t>
      </w:r>
      <w:r w:rsidRPr="00FA2E37">
        <w:rPr>
          <w:spacing w:val="-13"/>
        </w:rPr>
        <w:t xml:space="preserve"> </w:t>
      </w:r>
      <w:r w:rsidRPr="00FA2E37">
        <w:t>that</w:t>
      </w:r>
      <w:r w:rsidRPr="00FA2E37">
        <w:rPr>
          <w:spacing w:val="-12"/>
        </w:rPr>
        <w:t xml:space="preserve"> </w:t>
      </w:r>
      <w:r w:rsidRPr="00FA2E37">
        <w:t>the</w:t>
      </w:r>
      <w:r w:rsidRPr="00FA2E37">
        <w:rPr>
          <w:spacing w:val="-13"/>
        </w:rPr>
        <w:t xml:space="preserve"> </w:t>
      </w:r>
      <w:r w:rsidRPr="00FA2E37">
        <w:t>IACP</w:t>
      </w:r>
      <w:r w:rsidRPr="00FA2E37">
        <w:rPr>
          <w:spacing w:val="-12"/>
        </w:rPr>
        <w:t xml:space="preserve"> </w:t>
      </w:r>
      <w:r w:rsidRPr="00FA2E37">
        <w:t>opposes</w:t>
      </w:r>
      <w:r w:rsidRPr="00FA2E37">
        <w:rPr>
          <w:spacing w:val="-13"/>
        </w:rPr>
        <w:t xml:space="preserve"> </w:t>
      </w:r>
      <w:r w:rsidRPr="00FA2E37">
        <w:t>any</w:t>
      </w:r>
      <w:r w:rsidRPr="00FA2E37">
        <w:rPr>
          <w:spacing w:val="-12"/>
        </w:rPr>
        <w:t xml:space="preserve"> </w:t>
      </w:r>
      <w:r w:rsidRPr="00FA2E37">
        <w:t>increase</w:t>
      </w:r>
      <w:r w:rsidRPr="00FA2E37">
        <w:rPr>
          <w:spacing w:val="-13"/>
        </w:rPr>
        <w:t xml:space="preserve"> </w:t>
      </w:r>
      <w:r w:rsidRPr="00FA2E37">
        <w:t>in</w:t>
      </w:r>
      <w:r w:rsidRPr="00FA2E37">
        <w:rPr>
          <w:spacing w:val="-17"/>
        </w:rPr>
        <w:t xml:space="preserve"> </w:t>
      </w:r>
      <w:r w:rsidRPr="00FA2E37">
        <w:t>the</w:t>
      </w:r>
      <w:r w:rsidRPr="00FA2E37">
        <w:rPr>
          <w:spacing w:val="-12"/>
        </w:rPr>
        <w:t xml:space="preserve"> </w:t>
      </w:r>
      <w:r w:rsidRPr="00FA2E37">
        <w:t>size</w:t>
      </w:r>
      <w:r w:rsidRPr="00FA2E37">
        <w:rPr>
          <w:spacing w:val="-12"/>
        </w:rPr>
        <w:t xml:space="preserve"> </w:t>
      </w:r>
      <w:r w:rsidRPr="00FA2E37">
        <w:t>and</w:t>
      </w:r>
      <w:r w:rsidRPr="00FA2E37">
        <w:rPr>
          <w:spacing w:val="-13"/>
        </w:rPr>
        <w:t xml:space="preserve"> </w:t>
      </w:r>
      <w:r w:rsidRPr="00FA2E37">
        <w:t>weight</w:t>
      </w:r>
      <w:r w:rsidRPr="00FA2E37">
        <w:rPr>
          <w:spacing w:val="-16"/>
        </w:rPr>
        <w:t xml:space="preserve"> </w:t>
      </w:r>
      <w:r w:rsidRPr="00FA2E37">
        <w:t>limits</w:t>
      </w:r>
      <w:r w:rsidRPr="00FA2E37">
        <w:rPr>
          <w:spacing w:val="-12"/>
        </w:rPr>
        <w:t xml:space="preserve"> </w:t>
      </w:r>
      <w:r w:rsidRPr="00FA2E37">
        <w:t>of</w:t>
      </w:r>
      <w:r w:rsidRPr="00FA2E37">
        <w:rPr>
          <w:spacing w:val="-13"/>
        </w:rPr>
        <w:t xml:space="preserve"> </w:t>
      </w:r>
      <w:r w:rsidRPr="00FA2E37">
        <w:t>large</w:t>
      </w:r>
      <w:r w:rsidRPr="00FA2E37">
        <w:rPr>
          <w:spacing w:val="-12"/>
        </w:rPr>
        <w:t xml:space="preserve"> </w:t>
      </w:r>
      <w:r w:rsidRPr="00FA2E37">
        <w:t>trucks</w:t>
      </w:r>
      <w:r w:rsidRPr="00FA2E37">
        <w:rPr>
          <w:spacing w:val="-10"/>
        </w:rPr>
        <w:t xml:space="preserve"> </w:t>
      </w:r>
      <w:r w:rsidRPr="00FA2E37">
        <w:t>on</w:t>
      </w:r>
      <w:r w:rsidRPr="00FA2E37">
        <w:rPr>
          <w:spacing w:val="-17"/>
        </w:rPr>
        <w:t xml:space="preserve"> </w:t>
      </w:r>
      <w:r w:rsidRPr="00FA2E37">
        <w:t xml:space="preserve">U.S. </w:t>
      </w:r>
      <w:r w:rsidRPr="00FA2E37">
        <w:rPr>
          <w:spacing w:val="-2"/>
        </w:rPr>
        <w:t>highways without safety studies to support such increases</w:t>
      </w:r>
      <w:r w:rsidRPr="00FA2E37">
        <w:rPr>
          <w:b/>
          <w:spacing w:val="-2"/>
        </w:rPr>
        <w:t>.</w:t>
      </w:r>
    </w:p>
    <w:p w14:paraId="1547FD95" w14:textId="77777777" w:rsidR="00F50593" w:rsidRPr="00FA2E37" w:rsidRDefault="00F50593"/>
    <w:sectPr w:rsidR="00F50593" w:rsidRPr="00FA2E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6523" w14:textId="77777777" w:rsidR="00256CEC" w:rsidRDefault="00256CEC" w:rsidP="00F50593">
      <w:r>
        <w:separator/>
      </w:r>
    </w:p>
  </w:endnote>
  <w:endnote w:type="continuationSeparator" w:id="0">
    <w:p w14:paraId="1092CA3B" w14:textId="77777777" w:rsidR="00256CEC" w:rsidRDefault="00256CEC" w:rsidP="00F5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FF92" w14:textId="77777777" w:rsidR="00256CEC" w:rsidRDefault="00256CEC" w:rsidP="00F50593">
      <w:r>
        <w:separator/>
      </w:r>
    </w:p>
  </w:footnote>
  <w:footnote w:type="continuationSeparator" w:id="0">
    <w:p w14:paraId="6F6443FF" w14:textId="77777777" w:rsidR="00256CEC" w:rsidRDefault="00256CEC" w:rsidP="00F50593">
      <w:r>
        <w:continuationSeparator/>
      </w:r>
    </w:p>
  </w:footnote>
  <w:footnote w:id="1">
    <w:p w14:paraId="211A9206" w14:textId="3744A3AB" w:rsidR="00F50593" w:rsidRPr="00F50593" w:rsidRDefault="00F50593" w:rsidP="00F50593">
      <w:pPr>
        <w:spacing w:before="126"/>
        <w:rPr>
          <w:spacing w:val="-4"/>
          <w:sz w:val="20"/>
        </w:rPr>
      </w:pPr>
      <w:r w:rsidRPr="00F50593">
        <w:rPr>
          <w:rStyle w:val="FootnoteReference"/>
        </w:rPr>
        <w:footnoteRef/>
      </w:r>
      <w:r w:rsidRPr="00F50593">
        <w:t xml:space="preserve"> </w:t>
      </w:r>
      <w:r w:rsidRPr="00F50593">
        <w:rPr>
          <w:spacing w:val="-4"/>
          <w:sz w:val="20"/>
        </w:rPr>
        <w:t>FMCSA</w:t>
      </w:r>
      <w:r>
        <w:rPr>
          <w:spacing w:val="-4"/>
          <w:sz w:val="20"/>
        </w:rPr>
        <w:t xml:space="preserve">, </w:t>
      </w:r>
      <w:r w:rsidRPr="00F50593">
        <w:rPr>
          <w:spacing w:val="-4"/>
          <w:sz w:val="20"/>
        </w:rPr>
        <w:t xml:space="preserve">Large Truck and Bus Crash Facts 2021 (Last updated December 22, 2023) </w:t>
      </w:r>
    </w:p>
  </w:footnote>
  <w:footnote w:id="2">
    <w:p w14:paraId="1360B5A4" w14:textId="53A67E4A" w:rsidR="00F50593" w:rsidRPr="00F50593" w:rsidRDefault="00F50593" w:rsidP="00F50593">
      <w:pPr>
        <w:pStyle w:val="FootnoteText"/>
      </w:pPr>
      <w:r w:rsidRPr="00F50593">
        <w:rPr>
          <w:rStyle w:val="FootnoteReference"/>
        </w:rPr>
        <w:footnoteRef/>
      </w:r>
      <w:r w:rsidRPr="00F50593">
        <w:t xml:space="preserve"> </w:t>
      </w:r>
      <w:r w:rsidRPr="00F50593">
        <w:rPr>
          <w:spacing w:val="-4"/>
        </w:rPr>
        <w:t>FMCSA, Large Truck and Bus Crash Facts 2021 (Last updated December 22, 20</w:t>
      </w:r>
      <w:r>
        <w:rPr>
          <w:spacing w:val="-4"/>
        </w:rPr>
        <w:t>23)</w:t>
      </w:r>
    </w:p>
  </w:footnote>
  <w:footnote w:id="3">
    <w:p w14:paraId="002516AB" w14:textId="7F8FE578" w:rsidR="00F50593" w:rsidRPr="00F50593" w:rsidRDefault="00F50593" w:rsidP="00F50593">
      <w:pPr>
        <w:pStyle w:val="FootnoteText"/>
      </w:pPr>
      <w:r w:rsidRPr="00F50593">
        <w:rPr>
          <w:rStyle w:val="FootnoteReference"/>
        </w:rPr>
        <w:footnoteRef/>
      </w:r>
      <w:r w:rsidRPr="00F50593">
        <w:t xml:space="preserve"> </w:t>
      </w:r>
      <w:r w:rsidRPr="00F50593">
        <w:rPr>
          <w:spacing w:val="-4"/>
        </w:rPr>
        <w:t>FMCSA, Large Truck and Bus Crash Facts 2021 (Last updated December 22, 2023)</w:t>
      </w:r>
    </w:p>
  </w:footnote>
  <w:footnote w:id="4">
    <w:p w14:paraId="29E3598A" w14:textId="4E631B43" w:rsidR="00F50593" w:rsidRPr="00F50593" w:rsidRDefault="00F50593" w:rsidP="00F50593">
      <w:pPr>
        <w:rPr>
          <w:sz w:val="20"/>
        </w:rPr>
      </w:pPr>
      <w:r w:rsidRPr="00F50593">
        <w:rPr>
          <w:rStyle w:val="FootnoteReference"/>
        </w:rPr>
        <w:footnoteRef/>
      </w:r>
      <w:r w:rsidRPr="00F50593">
        <w:t xml:space="preserve"> </w:t>
      </w:r>
      <w:r w:rsidRPr="00F50593">
        <w:rPr>
          <w:sz w:val="20"/>
        </w:rPr>
        <w:t>NHTSA</w:t>
      </w:r>
      <w:r>
        <w:rPr>
          <w:sz w:val="20"/>
        </w:rPr>
        <w:t>,</w:t>
      </w:r>
      <w:r w:rsidRPr="00F50593">
        <w:rPr>
          <w:sz w:val="20"/>
        </w:rPr>
        <w:t xml:space="preserve"> Overview of Motor Vehicle Traffic Crashes in 2022</w:t>
      </w:r>
    </w:p>
  </w:footnote>
  <w:footnote w:id="5">
    <w:p w14:paraId="11EEDE8D" w14:textId="4B19BE1E" w:rsidR="00F50593" w:rsidRPr="00F50593" w:rsidRDefault="00F50593" w:rsidP="00F50593">
      <w:pPr>
        <w:pStyle w:val="FootnoteText"/>
      </w:pPr>
      <w:r w:rsidRPr="00F50593">
        <w:rPr>
          <w:rStyle w:val="FootnoteReference"/>
        </w:rPr>
        <w:footnoteRef/>
      </w:r>
      <w:r w:rsidRPr="00F50593">
        <w:t xml:space="preserve"> NHTSA</w:t>
      </w:r>
      <w:r>
        <w:t>,</w:t>
      </w:r>
      <w:r w:rsidRPr="00F50593">
        <w:t xml:space="preserve"> Overview of Motor Vehicle Traffic Crashes in 2022</w:t>
      </w:r>
    </w:p>
  </w:footnote>
  <w:footnote w:id="6">
    <w:p w14:paraId="13DC79CD" w14:textId="359F6A81" w:rsidR="00F50593" w:rsidRPr="00F50593" w:rsidRDefault="00F50593" w:rsidP="00F50593">
      <w:pPr>
        <w:pStyle w:val="FootnoteText"/>
      </w:pPr>
      <w:r w:rsidRPr="00F50593">
        <w:rPr>
          <w:rStyle w:val="FootnoteReference"/>
        </w:rPr>
        <w:footnoteRef/>
      </w:r>
      <w:r w:rsidRPr="00F50593">
        <w:t xml:space="preserve"> NHTSA</w:t>
      </w:r>
      <w:r>
        <w:t>,</w:t>
      </w:r>
      <w:r w:rsidRPr="00F50593">
        <w:t xml:space="preserve"> Overview of Motor Vehicle Traffic Crashes in 2022</w:t>
      </w:r>
    </w:p>
  </w:footnote>
  <w:footnote w:id="7">
    <w:p w14:paraId="13C713BB" w14:textId="07A42353" w:rsidR="00F50593" w:rsidRPr="00F50593" w:rsidRDefault="00F50593" w:rsidP="00F50593">
      <w:pPr>
        <w:pStyle w:val="FootnoteText"/>
      </w:pPr>
      <w:r w:rsidRPr="00F50593">
        <w:rPr>
          <w:rStyle w:val="FootnoteReference"/>
        </w:rPr>
        <w:footnoteRef/>
      </w:r>
      <w:r w:rsidRPr="00F50593">
        <w:t xml:space="preserve"> </w:t>
      </w:r>
      <w:r w:rsidRPr="00F50593">
        <w:rPr>
          <w:spacing w:val="-4"/>
        </w:rPr>
        <w:t>FMCSA, Large Truck and Bus Crash Facts 2021 (Last updated December 22, 20</w:t>
      </w:r>
      <w:r>
        <w:rPr>
          <w:spacing w:val="-4"/>
        </w:rPr>
        <w:t>23)</w:t>
      </w:r>
    </w:p>
  </w:footnote>
  <w:footnote w:id="8">
    <w:p w14:paraId="574CB6A9" w14:textId="7929646A" w:rsidR="00F50593" w:rsidRDefault="00F50593" w:rsidP="00F50593">
      <w:pPr>
        <w:pStyle w:val="FootnoteText"/>
      </w:pPr>
      <w:r w:rsidRPr="00F50593">
        <w:rPr>
          <w:rStyle w:val="FootnoteReference"/>
        </w:rPr>
        <w:footnoteRef/>
      </w:r>
      <w:r w:rsidRPr="00F50593">
        <w:t xml:space="preserve"> </w:t>
      </w:r>
      <w:r w:rsidRPr="00F50593">
        <w:rPr>
          <w:spacing w:val="-4"/>
        </w:rPr>
        <w:t>FMCSA, Large Truck and Bus Crash Facts 2021 (Last updated December 22, 20</w:t>
      </w:r>
      <w:r>
        <w:rPr>
          <w:spacing w:val="-4"/>
        </w:rPr>
        <w:t>23)</w:t>
      </w:r>
    </w:p>
  </w:footnote>
  <w:footnote w:id="9">
    <w:p w14:paraId="4E86B982" w14:textId="2FCD578C" w:rsidR="00F50593" w:rsidRDefault="00F50593">
      <w:pPr>
        <w:pStyle w:val="FootnoteText"/>
      </w:pPr>
      <w:r>
        <w:rPr>
          <w:rStyle w:val="FootnoteReference"/>
        </w:rPr>
        <w:footnoteRef/>
      </w:r>
      <w:r>
        <w:t xml:space="preserve"> American Road &amp; Transportation Builders Association, “</w:t>
      </w:r>
      <w:hyperlink r:id="rId1" w:history="1">
        <w:r w:rsidRPr="00F50593">
          <w:rPr>
            <w:rStyle w:val="Hyperlink"/>
          </w:rPr>
          <w:t>Bridge Report</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93"/>
    <w:rsid w:val="00017EBB"/>
    <w:rsid w:val="000F53F2"/>
    <w:rsid w:val="00152A54"/>
    <w:rsid w:val="00241D07"/>
    <w:rsid w:val="00256CEC"/>
    <w:rsid w:val="002A4CDB"/>
    <w:rsid w:val="00422853"/>
    <w:rsid w:val="00457E78"/>
    <w:rsid w:val="0062381D"/>
    <w:rsid w:val="00745EB7"/>
    <w:rsid w:val="008003FD"/>
    <w:rsid w:val="008004BC"/>
    <w:rsid w:val="008C68FC"/>
    <w:rsid w:val="0093462E"/>
    <w:rsid w:val="00A10FA0"/>
    <w:rsid w:val="00A560C2"/>
    <w:rsid w:val="00B378C3"/>
    <w:rsid w:val="00E9415F"/>
    <w:rsid w:val="00F50593"/>
    <w:rsid w:val="00FA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C171"/>
  <w15:chartTrackingRefBased/>
  <w15:docId w15:val="{BD151336-262E-4E0F-9F93-3B30141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9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5059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059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059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059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059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059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059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059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059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593"/>
    <w:rPr>
      <w:rFonts w:eastAsiaTheme="majorEastAsia" w:cstheme="majorBidi"/>
      <w:color w:val="272727" w:themeColor="text1" w:themeTint="D8"/>
    </w:rPr>
  </w:style>
  <w:style w:type="paragraph" w:styleId="Title">
    <w:name w:val="Title"/>
    <w:basedOn w:val="Normal"/>
    <w:next w:val="Normal"/>
    <w:link w:val="TitleChar"/>
    <w:uiPriority w:val="10"/>
    <w:qFormat/>
    <w:rsid w:val="00F5059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59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59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0593"/>
    <w:rPr>
      <w:i/>
      <w:iCs/>
      <w:color w:val="404040" w:themeColor="text1" w:themeTint="BF"/>
    </w:rPr>
  </w:style>
  <w:style w:type="paragraph" w:styleId="ListParagraph">
    <w:name w:val="List Paragraph"/>
    <w:basedOn w:val="Normal"/>
    <w:uiPriority w:val="34"/>
    <w:qFormat/>
    <w:rsid w:val="00F50593"/>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50593"/>
    <w:rPr>
      <w:i/>
      <w:iCs/>
      <w:color w:val="0F4761" w:themeColor="accent1" w:themeShade="BF"/>
    </w:rPr>
  </w:style>
  <w:style w:type="paragraph" w:styleId="IntenseQuote">
    <w:name w:val="Intense Quote"/>
    <w:basedOn w:val="Normal"/>
    <w:next w:val="Normal"/>
    <w:link w:val="IntenseQuoteChar"/>
    <w:uiPriority w:val="30"/>
    <w:qFormat/>
    <w:rsid w:val="00F5059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0593"/>
    <w:rPr>
      <w:i/>
      <w:iCs/>
      <w:color w:val="0F4761" w:themeColor="accent1" w:themeShade="BF"/>
    </w:rPr>
  </w:style>
  <w:style w:type="character" w:styleId="IntenseReference">
    <w:name w:val="Intense Reference"/>
    <w:basedOn w:val="DefaultParagraphFont"/>
    <w:uiPriority w:val="32"/>
    <w:qFormat/>
    <w:rsid w:val="00F50593"/>
    <w:rPr>
      <w:b/>
      <w:bCs/>
      <w:smallCaps/>
      <w:color w:val="0F4761" w:themeColor="accent1" w:themeShade="BF"/>
      <w:spacing w:val="5"/>
    </w:rPr>
  </w:style>
  <w:style w:type="paragraph" w:styleId="BodyText">
    <w:name w:val="Body Text"/>
    <w:basedOn w:val="Normal"/>
    <w:link w:val="BodyTextChar"/>
    <w:uiPriority w:val="1"/>
    <w:qFormat/>
    <w:rsid w:val="00F50593"/>
  </w:style>
  <w:style w:type="character" w:customStyle="1" w:styleId="BodyTextChar">
    <w:name w:val="Body Text Char"/>
    <w:basedOn w:val="DefaultParagraphFont"/>
    <w:link w:val="BodyText"/>
    <w:uiPriority w:val="1"/>
    <w:rsid w:val="00F50593"/>
    <w:rPr>
      <w:rFonts w:ascii="Calibri" w:eastAsia="Calibri" w:hAnsi="Calibri" w:cs="Calibri"/>
      <w:kern w:val="0"/>
      <w:sz w:val="22"/>
      <w:szCs w:val="22"/>
      <w14:ligatures w14:val="none"/>
    </w:rPr>
  </w:style>
  <w:style w:type="paragraph" w:styleId="FootnoteText">
    <w:name w:val="footnote text"/>
    <w:basedOn w:val="Normal"/>
    <w:link w:val="FootnoteTextChar"/>
    <w:uiPriority w:val="99"/>
    <w:semiHidden/>
    <w:unhideWhenUsed/>
    <w:rsid w:val="00F50593"/>
    <w:rPr>
      <w:sz w:val="20"/>
      <w:szCs w:val="20"/>
    </w:rPr>
  </w:style>
  <w:style w:type="character" w:customStyle="1" w:styleId="FootnoteTextChar">
    <w:name w:val="Footnote Text Char"/>
    <w:basedOn w:val="DefaultParagraphFont"/>
    <w:link w:val="FootnoteText"/>
    <w:uiPriority w:val="99"/>
    <w:semiHidden/>
    <w:rsid w:val="00F50593"/>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F50593"/>
    <w:rPr>
      <w:vertAlign w:val="superscript"/>
    </w:rPr>
  </w:style>
  <w:style w:type="character" w:styleId="Hyperlink">
    <w:name w:val="Hyperlink"/>
    <w:basedOn w:val="DefaultParagraphFont"/>
    <w:uiPriority w:val="99"/>
    <w:unhideWhenUsed/>
    <w:rsid w:val="00F50593"/>
    <w:rPr>
      <w:color w:val="467886" w:themeColor="hyperlink"/>
      <w:u w:val="single"/>
    </w:rPr>
  </w:style>
  <w:style w:type="character" w:styleId="UnresolvedMention">
    <w:name w:val="Unresolved Mention"/>
    <w:basedOn w:val="DefaultParagraphFont"/>
    <w:uiPriority w:val="99"/>
    <w:semiHidden/>
    <w:unhideWhenUsed/>
    <w:rsid w:val="00F50593"/>
    <w:rPr>
      <w:color w:val="605E5C"/>
      <w:shd w:val="clear" w:color="auto" w:fill="E1DFDD"/>
    </w:rPr>
  </w:style>
  <w:style w:type="character" w:styleId="CommentReference">
    <w:name w:val="annotation reference"/>
    <w:basedOn w:val="DefaultParagraphFont"/>
    <w:uiPriority w:val="99"/>
    <w:semiHidden/>
    <w:unhideWhenUsed/>
    <w:rsid w:val="00241D07"/>
    <w:rPr>
      <w:sz w:val="16"/>
      <w:szCs w:val="16"/>
    </w:rPr>
  </w:style>
  <w:style w:type="paragraph" w:styleId="CommentText">
    <w:name w:val="annotation text"/>
    <w:basedOn w:val="Normal"/>
    <w:link w:val="CommentTextChar"/>
    <w:uiPriority w:val="99"/>
    <w:unhideWhenUsed/>
    <w:rsid w:val="00241D07"/>
    <w:rPr>
      <w:sz w:val="20"/>
      <w:szCs w:val="20"/>
    </w:rPr>
  </w:style>
  <w:style w:type="character" w:customStyle="1" w:styleId="CommentTextChar">
    <w:name w:val="Comment Text Char"/>
    <w:basedOn w:val="DefaultParagraphFont"/>
    <w:link w:val="CommentText"/>
    <w:uiPriority w:val="99"/>
    <w:rsid w:val="00241D07"/>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1D07"/>
    <w:rPr>
      <w:b/>
      <w:bCs/>
    </w:rPr>
  </w:style>
  <w:style w:type="character" w:customStyle="1" w:styleId="CommentSubjectChar">
    <w:name w:val="Comment Subject Char"/>
    <w:basedOn w:val="CommentTextChar"/>
    <w:link w:val="CommentSubject"/>
    <w:uiPriority w:val="99"/>
    <w:semiHidden/>
    <w:rsid w:val="00241D07"/>
    <w:rPr>
      <w:rFonts w:ascii="Calibri" w:eastAsia="Calibri" w:hAnsi="Calibri" w:cs="Calibri"/>
      <w:b/>
      <w:bCs/>
      <w:kern w:val="0"/>
      <w:sz w:val="20"/>
      <w:szCs w:val="20"/>
      <w14:ligatures w14:val="none"/>
    </w:rPr>
  </w:style>
  <w:style w:type="paragraph" w:styleId="Revision">
    <w:name w:val="Revision"/>
    <w:hidden/>
    <w:uiPriority w:val="99"/>
    <w:semiHidden/>
    <w:rsid w:val="00745EB7"/>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artbabridgereport.org/reports/2024-ARTBA-Bridg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1D31F6951C142AD4D99A983118605" ma:contentTypeVersion="19" ma:contentTypeDescription="Create a new document." ma:contentTypeScope="" ma:versionID="6856e4437c4240165bb4fc84cc9f030b">
  <xsd:schema xmlns:xsd="http://www.w3.org/2001/XMLSchema" xmlns:xs="http://www.w3.org/2001/XMLSchema" xmlns:p="http://schemas.microsoft.com/office/2006/metadata/properties" xmlns:ns2="3a30536d-af54-49c4-8329-ecc6d49e940a" xmlns:ns3="84822ca7-a8e4-4bd2-a8d4-aa665a935664" targetNamespace="http://schemas.microsoft.com/office/2006/metadata/properties" ma:root="true" ma:fieldsID="317e047fd99dfbd26bab46b077602f43" ns2:_="" ns3:_="">
    <xsd:import namespace="3a30536d-af54-49c4-8329-ecc6d49e940a"/>
    <xsd:import namespace="84822ca7-a8e4-4bd2-a8d4-aa665a935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AuthoringGroup"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536d-af54-49c4-8329-ecc6d49e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uthoringGroup" ma:index="21" nillable="true" ma:displayName="Authoring Group" ma:description="Committee, Section, or Division authoring the resolution." ma:format="Dropdown" ma:internalName="AuthoringGroup">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b2d66a-8a76-45f0-bdd8-73588bd3e2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22ca7-a8e4-4bd2-a8d4-aa665a9356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2dda38-154d-4fca-a92d-f53f8b5d602d}" ma:internalName="TaxCatchAll" ma:showField="CatchAllData" ma:web="84822ca7-a8e4-4bd2-a8d4-aa665a935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ingGroup xmlns="3a30536d-af54-49c4-8329-ecc6d49e940a" xsi:nil="true"/>
    <TaxCatchAll xmlns="84822ca7-a8e4-4bd2-a8d4-aa665a935664" xsi:nil="true"/>
    <lcf76f155ced4ddcb4097134ff3c332f xmlns="3a30536d-af54-49c4-8329-ecc6d49e9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8352A-8CD3-4CE7-B243-13DF6B607E40}">
  <ds:schemaRefs>
    <ds:schemaRef ds:uri="http://schemas.openxmlformats.org/officeDocument/2006/bibliography"/>
  </ds:schemaRefs>
</ds:datastoreItem>
</file>

<file path=customXml/itemProps2.xml><?xml version="1.0" encoding="utf-8"?>
<ds:datastoreItem xmlns:ds="http://schemas.openxmlformats.org/officeDocument/2006/customXml" ds:itemID="{5AC4E590-7136-4948-B2B7-1EEA6500C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0536d-af54-49c4-8329-ecc6d49e940a"/>
    <ds:schemaRef ds:uri="84822ca7-a8e4-4bd2-a8d4-aa665a935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0D4FA-2610-4F27-B15A-DBDDC88C3F1A}">
  <ds:schemaRefs>
    <ds:schemaRef ds:uri="http://schemas.microsoft.com/sharepoint/v3/contenttype/forms"/>
  </ds:schemaRefs>
</ds:datastoreItem>
</file>

<file path=customXml/itemProps4.xml><?xml version="1.0" encoding="utf-8"?>
<ds:datastoreItem xmlns:ds="http://schemas.openxmlformats.org/officeDocument/2006/customXml" ds:itemID="{A8A197C1-7DEB-46B7-A20A-4AA548EDC572}">
  <ds:schemaRefs>
    <ds:schemaRef ds:uri="http://schemas.microsoft.com/office/2006/metadata/properties"/>
    <ds:schemaRef ds:uri="http://schemas.microsoft.com/office/infopath/2007/PartnerControls"/>
    <ds:schemaRef ds:uri="3a30536d-af54-49c4-8329-ecc6d49e940a"/>
    <ds:schemaRef ds:uri="84822ca7-a8e4-4bd2-a8d4-aa665a935664"/>
  </ds:schemaRefs>
</ds:datastoreItem>
</file>

<file path=docMetadata/LabelInfo.xml><?xml version="1.0" encoding="utf-8"?>
<clbl:labelList xmlns:clbl="http://schemas.microsoft.com/office/2020/mipLabelMetadata">
  <clbl:label id="{31fe1289-78a0-486e-8f9b-90c68f5be146}" enabled="1" method="Standard" siteId="{c4a5ff7a-f87c-4d21-a0d9-08a2ff3dbdc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Ridgway</dc:creator>
  <cp:keywords/>
  <dc:description/>
  <cp:lastModifiedBy>Andie Sodergren</cp:lastModifiedBy>
  <cp:revision>10</cp:revision>
  <dcterms:created xsi:type="dcterms:W3CDTF">2025-02-27T21:52:00Z</dcterms:created>
  <dcterms:modified xsi:type="dcterms:W3CDTF">2025-04-28T13:37:00Z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0x01010021E1D31F6951C142AD4D99A983118605</vt:lpwstr>
  </property>
</Properties>
</file>