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FCDC" w14:textId="5A20234F" w:rsidR="00CA4B7F" w:rsidRDefault="00CA4B7F" w:rsidP="00024056">
      <w:pPr>
        <w:pStyle w:val="Default"/>
        <w:jc w:val="center"/>
        <w:rPr>
          <w:sz w:val="22"/>
          <w:szCs w:val="22"/>
        </w:rPr>
      </w:pPr>
      <w:r>
        <w:rPr>
          <w:sz w:val="22"/>
          <w:szCs w:val="22"/>
        </w:rPr>
        <w:t>Investigation of Fatal Crashes</w:t>
      </w:r>
    </w:p>
    <w:p w14:paraId="5384FE72" w14:textId="77777777" w:rsidR="00024056" w:rsidRDefault="00024056" w:rsidP="00024056">
      <w:pPr>
        <w:pStyle w:val="Default"/>
        <w:jc w:val="center"/>
        <w:rPr>
          <w:sz w:val="22"/>
          <w:szCs w:val="22"/>
        </w:rPr>
      </w:pPr>
    </w:p>
    <w:p w14:paraId="753008E1" w14:textId="04A63E92" w:rsidR="00CA4B7F" w:rsidRDefault="0026270A" w:rsidP="00024056">
      <w:pPr>
        <w:pStyle w:val="Default"/>
        <w:jc w:val="center"/>
        <w:rPr>
          <w:sz w:val="22"/>
          <w:szCs w:val="22"/>
        </w:rPr>
      </w:pPr>
      <w:r w:rsidRPr="0026270A">
        <w:rPr>
          <w:b/>
          <w:bCs/>
          <w:sz w:val="22"/>
          <w:szCs w:val="22"/>
        </w:rPr>
        <w:t>Submitted By:</w:t>
      </w:r>
      <w:r>
        <w:rPr>
          <w:sz w:val="22"/>
          <w:szCs w:val="22"/>
        </w:rPr>
        <w:t xml:space="preserve"> IACP Technical Advisory Panel to the Drug Evaluation &amp; Classification Program</w:t>
      </w:r>
      <w:r w:rsidR="00196F57">
        <w:rPr>
          <w:sz w:val="22"/>
          <w:szCs w:val="22"/>
        </w:rPr>
        <w:t>, and reviewed by the IACP Committees for Roadway Safety, Forensics, Narcotics and Dangerous Drugs and State &amp; Provincial Police</w:t>
      </w:r>
    </w:p>
    <w:p w14:paraId="3DC12271" w14:textId="77777777" w:rsidR="00024056" w:rsidRDefault="00024056" w:rsidP="00024056">
      <w:pPr>
        <w:pStyle w:val="Default"/>
        <w:jc w:val="center"/>
        <w:rPr>
          <w:sz w:val="22"/>
          <w:szCs w:val="22"/>
        </w:rPr>
      </w:pPr>
    </w:p>
    <w:p w14:paraId="49335CD1" w14:textId="48DCBA4E" w:rsidR="009F3997" w:rsidRDefault="009F3997" w:rsidP="009F3997">
      <w:pPr>
        <w:pStyle w:val="Default"/>
        <w:rPr>
          <w:sz w:val="22"/>
          <w:szCs w:val="22"/>
        </w:rPr>
      </w:pPr>
      <w:proofErr w:type="gramStart"/>
      <w:r>
        <w:rPr>
          <w:sz w:val="22"/>
          <w:szCs w:val="22"/>
        </w:rPr>
        <w:t>WHEREAS,</w:t>
      </w:r>
      <w:proofErr w:type="gramEnd"/>
      <w:r w:rsidR="002914E6">
        <w:rPr>
          <w:sz w:val="22"/>
          <w:szCs w:val="22"/>
        </w:rPr>
        <w:t xml:space="preserve"> </w:t>
      </w:r>
      <w:r>
        <w:rPr>
          <w:sz w:val="22"/>
          <w:szCs w:val="22"/>
        </w:rPr>
        <w:t xml:space="preserve">an alarming rate of drivers are suspected of using impairing </w:t>
      </w:r>
      <w:r w:rsidR="00CA4B7F">
        <w:rPr>
          <w:sz w:val="22"/>
          <w:szCs w:val="22"/>
        </w:rPr>
        <w:t>substances</w:t>
      </w:r>
      <w:r>
        <w:rPr>
          <w:sz w:val="22"/>
          <w:szCs w:val="22"/>
        </w:rPr>
        <w:t xml:space="preserve"> alone, </w:t>
      </w:r>
      <w:r w:rsidR="00AA1F6D">
        <w:rPr>
          <w:sz w:val="22"/>
          <w:szCs w:val="22"/>
        </w:rPr>
        <w:t xml:space="preserve">with over 11 million admitting driving under the influence of illicit drugs in the past year, </w:t>
      </w:r>
      <w:r>
        <w:rPr>
          <w:sz w:val="22"/>
          <w:szCs w:val="22"/>
        </w:rPr>
        <w:t>or in combination with</w:t>
      </w:r>
      <w:r w:rsidR="004C37F0">
        <w:rPr>
          <w:sz w:val="22"/>
          <w:szCs w:val="22"/>
        </w:rPr>
        <w:t>,</w:t>
      </w:r>
      <w:r>
        <w:rPr>
          <w:sz w:val="22"/>
          <w:szCs w:val="22"/>
        </w:rPr>
        <w:t xml:space="preserve"> alcohol (</w:t>
      </w:r>
      <w:r w:rsidR="00892D2D">
        <w:rPr>
          <w:sz w:val="22"/>
          <w:szCs w:val="22"/>
        </w:rPr>
        <w:t>20</w:t>
      </w:r>
      <w:r w:rsidR="000425F8">
        <w:rPr>
          <w:sz w:val="22"/>
          <w:szCs w:val="22"/>
        </w:rPr>
        <w:t>22</w:t>
      </w:r>
      <w:r>
        <w:rPr>
          <w:sz w:val="22"/>
          <w:szCs w:val="22"/>
        </w:rPr>
        <w:t xml:space="preserve"> National Survey on Drug Use and Health); and </w:t>
      </w:r>
    </w:p>
    <w:p w14:paraId="2A610BD7" w14:textId="530E4114" w:rsidR="002914E6" w:rsidRDefault="00670989" w:rsidP="00670989">
      <w:pPr>
        <w:pStyle w:val="Default"/>
        <w:tabs>
          <w:tab w:val="left" w:pos="1120"/>
        </w:tabs>
        <w:rPr>
          <w:sz w:val="22"/>
          <w:szCs w:val="22"/>
        </w:rPr>
      </w:pPr>
      <w:r>
        <w:rPr>
          <w:sz w:val="22"/>
          <w:szCs w:val="22"/>
        </w:rPr>
        <w:tab/>
      </w:r>
    </w:p>
    <w:p w14:paraId="4B7B04AE" w14:textId="75760D34" w:rsidR="002914E6" w:rsidRDefault="002914E6" w:rsidP="009F3997">
      <w:pPr>
        <w:pStyle w:val="Default"/>
        <w:rPr>
          <w:sz w:val="22"/>
          <w:szCs w:val="22"/>
        </w:rPr>
      </w:pPr>
      <w:r>
        <w:rPr>
          <w:sz w:val="22"/>
          <w:szCs w:val="22"/>
        </w:rPr>
        <w:t>WHEREAS, in 2020, more than 1 in 10 respondents in the National Survey on Drug Use and Health reported driving under the influence of alcohol and/or illicit drug(s) in the past year (SAMSHA 2021); and</w:t>
      </w:r>
    </w:p>
    <w:p w14:paraId="4CE589A3" w14:textId="1CDE14E6" w:rsidR="002914E6" w:rsidRDefault="002914E6" w:rsidP="009F3997">
      <w:pPr>
        <w:pStyle w:val="Default"/>
        <w:rPr>
          <w:sz w:val="22"/>
          <w:szCs w:val="22"/>
        </w:rPr>
      </w:pPr>
    </w:p>
    <w:p w14:paraId="0ED47780" w14:textId="66B5BEB9" w:rsidR="002914E6" w:rsidRDefault="002914E6" w:rsidP="009F3997">
      <w:pPr>
        <w:pStyle w:val="Default"/>
        <w:rPr>
          <w:sz w:val="22"/>
          <w:szCs w:val="22"/>
        </w:rPr>
      </w:pPr>
      <w:proofErr w:type="gramStart"/>
      <w:r>
        <w:rPr>
          <w:sz w:val="22"/>
          <w:szCs w:val="22"/>
        </w:rPr>
        <w:t>WHEREAS,</w:t>
      </w:r>
      <w:proofErr w:type="gramEnd"/>
      <w:r>
        <w:rPr>
          <w:sz w:val="22"/>
          <w:szCs w:val="22"/>
        </w:rPr>
        <w:t xml:space="preserve"> the National Highway Traffic Safety Administration (NHTSA) reported that 2021 had the highest number of fatalities since 2005 and the largest annual percentage increase in the Fatality Analysis Reporting System's (FARS) history in early estimates of traffic fatalities</w:t>
      </w:r>
      <w:r w:rsidR="00F60EAC">
        <w:rPr>
          <w:sz w:val="22"/>
          <w:szCs w:val="22"/>
        </w:rPr>
        <w:t xml:space="preserve"> (NHTSA: Newly Released Estimates S</w:t>
      </w:r>
      <w:r w:rsidR="004C37F0">
        <w:rPr>
          <w:sz w:val="22"/>
          <w:szCs w:val="22"/>
        </w:rPr>
        <w:t>h</w:t>
      </w:r>
      <w:r w:rsidR="00F60EAC">
        <w:rPr>
          <w:sz w:val="22"/>
          <w:szCs w:val="22"/>
        </w:rPr>
        <w:t>ow Traffic Fatalities Reached a 16-Year High in 2021; 2022)</w:t>
      </w:r>
      <w:r>
        <w:rPr>
          <w:sz w:val="22"/>
          <w:szCs w:val="22"/>
        </w:rPr>
        <w:t>; and</w:t>
      </w:r>
    </w:p>
    <w:p w14:paraId="30A1292F" w14:textId="77777777" w:rsidR="00305236" w:rsidRDefault="00305236" w:rsidP="009F3997">
      <w:pPr>
        <w:pStyle w:val="Default"/>
        <w:rPr>
          <w:sz w:val="22"/>
          <w:szCs w:val="22"/>
        </w:rPr>
      </w:pPr>
    </w:p>
    <w:p w14:paraId="2E2A739B" w14:textId="77777777" w:rsidR="00305236" w:rsidRDefault="00305236" w:rsidP="00305236">
      <w:pPr>
        <w:pStyle w:val="Default"/>
        <w:rPr>
          <w:sz w:val="22"/>
          <w:szCs w:val="22"/>
        </w:rPr>
      </w:pPr>
      <w:proofErr w:type="gramStart"/>
      <w:r>
        <w:rPr>
          <w:sz w:val="22"/>
          <w:szCs w:val="22"/>
        </w:rPr>
        <w:t>WHEREAS,</w:t>
      </w:r>
      <w:proofErr w:type="gramEnd"/>
      <w:r>
        <w:rPr>
          <w:sz w:val="22"/>
          <w:szCs w:val="22"/>
        </w:rPr>
        <w:t xml:space="preserve"> an increasing number of police officers are being trained to detect drug-impaired drivers through the Advanced Roadside Impaired Driving Enforcement (ARIDE) and Drug Evaluation and Classification (DEC) Program; and </w:t>
      </w:r>
    </w:p>
    <w:p w14:paraId="3377E535" w14:textId="19A0EF0F" w:rsidR="00000D8B" w:rsidRDefault="00000D8B" w:rsidP="009F3997">
      <w:pPr>
        <w:pStyle w:val="Default"/>
        <w:rPr>
          <w:sz w:val="22"/>
          <w:szCs w:val="22"/>
        </w:rPr>
      </w:pPr>
    </w:p>
    <w:p w14:paraId="4DFFCCE5" w14:textId="05514B08" w:rsidR="00000D8B" w:rsidRDefault="00000D8B" w:rsidP="009F3997">
      <w:pPr>
        <w:pStyle w:val="Default"/>
        <w:rPr>
          <w:sz w:val="22"/>
          <w:szCs w:val="22"/>
        </w:rPr>
      </w:pPr>
      <w:proofErr w:type="gramStart"/>
      <w:r>
        <w:rPr>
          <w:sz w:val="22"/>
          <w:szCs w:val="22"/>
        </w:rPr>
        <w:t>WHEREAS,</w:t>
      </w:r>
      <w:proofErr w:type="gramEnd"/>
      <w:r>
        <w:rPr>
          <w:sz w:val="22"/>
          <w:szCs w:val="22"/>
        </w:rPr>
        <w:t xml:space="preserve"> timely and standardized collection </w:t>
      </w:r>
      <w:r w:rsidR="00305236">
        <w:rPr>
          <w:sz w:val="22"/>
          <w:szCs w:val="22"/>
        </w:rPr>
        <w:t xml:space="preserve">of biological samples from fatally injured drivers are necessary </w:t>
      </w:r>
      <w:r w:rsidR="002914E6">
        <w:rPr>
          <w:sz w:val="22"/>
          <w:szCs w:val="22"/>
        </w:rPr>
        <w:t xml:space="preserve">to </w:t>
      </w:r>
      <w:r w:rsidR="00305236">
        <w:rPr>
          <w:sz w:val="22"/>
          <w:szCs w:val="22"/>
        </w:rPr>
        <w:t xml:space="preserve">conduct drug toxicology testing </w:t>
      </w:r>
      <w:r w:rsidR="00CA4B7F">
        <w:rPr>
          <w:sz w:val="22"/>
          <w:szCs w:val="22"/>
        </w:rPr>
        <w:t>and</w:t>
      </w:r>
      <w:r w:rsidR="004C37F0">
        <w:rPr>
          <w:sz w:val="22"/>
          <w:szCs w:val="22"/>
        </w:rPr>
        <w:t xml:space="preserve"> </w:t>
      </w:r>
      <w:r w:rsidR="00305236">
        <w:rPr>
          <w:sz w:val="22"/>
          <w:szCs w:val="22"/>
        </w:rPr>
        <w:t>understand drug-driving prevalence; and</w:t>
      </w:r>
    </w:p>
    <w:p w14:paraId="41A6CFAF" w14:textId="77777777" w:rsidR="009F3997" w:rsidRDefault="009F3997" w:rsidP="009F3997">
      <w:pPr>
        <w:pStyle w:val="Default"/>
        <w:rPr>
          <w:sz w:val="22"/>
          <w:szCs w:val="22"/>
        </w:rPr>
      </w:pPr>
    </w:p>
    <w:p w14:paraId="12219D01" w14:textId="1D519372" w:rsidR="009F3997" w:rsidRDefault="009F3997" w:rsidP="009F3997">
      <w:pPr>
        <w:pStyle w:val="Default"/>
        <w:rPr>
          <w:sz w:val="22"/>
          <w:szCs w:val="22"/>
        </w:rPr>
      </w:pPr>
      <w:proofErr w:type="gramStart"/>
      <w:r>
        <w:rPr>
          <w:sz w:val="22"/>
          <w:szCs w:val="22"/>
        </w:rPr>
        <w:t>WHEREAS,</w:t>
      </w:r>
      <w:proofErr w:type="gramEnd"/>
      <w:r>
        <w:rPr>
          <w:sz w:val="22"/>
          <w:szCs w:val="22"/>
        </w:rPr>
        <w:t xml:space="preserve"> timely, consistent, and accurate drug toxicology testing and reporting are critical components in the overall efforts to deter drugged driving; and </w:t>
      </w:r>
    </w:p>
    <w:p w14:paraId="5D923835" w14:textId="4D832125" w:rsidR="003D32A2" w:rsidRDefault="003D32A2" w:rsidP="009F3997">
      <w:pPr>
        <w:pStyle w:val="Default"/>
        <w:rPr>
          <w:sz w:val="22"/>
          <w:szCs w:val="22"/>
        </w:rPr>
      </w:pPr>
    </w:p>
    <w:p w14:paraId="5567B660" w14:textId="442FE422" w:rsidR="00AA1F6D" w:rsidRDefault="003D32A2" w:rsidP="009F3997">
      <w:pPr>
        <w:pStyle w:val="Default"/>
        <w:rPr>
          <w:sz w:val="22"/>
          <w:szCs w:val="22"/>
        </w:rPr>
      </w:pPr>
      <w:proofErr w:type="gramStart"/>
      <w:r>
        <w:rPr>
          <w:sz w:val="22"/>
          <w:szCs w:val="22"/>
        </w:rPr>
        <w:t>WHEREAS,</w:t>
      </w:r>
      <w:proofErr w:type="gramEnd"/>
      <w:r>
        <w:rPr>
          <w:sz w:val="22"/>
          <w:szCs w:val="22"/>
        </w:rPr>
        <w:t xml:space="preserve"> only twenty-seven states obligate the collection of a sample and testing of fatally-injured drivers for drugs in addition to alcohol, with</w:t>
      </w:r>
      <w:r w:rsidR="00000D8B">
        <w:rPr>
          <w:sz w:val="22"/>
          <w:szCs w:val="22"/>
        </w:rPr>
        <w:t xml:space="preserve"> only twenty-two states reporting findings to the</w:t>
      </w:r>
      <w:r w:rsidR="002914E6">
        <w:rPr>
          <w:sz w:val="22"/>
          <w:szCs w:val="22"/>
        </w:rPr>
        <w:t xml:space="preserve"> FARS</w:t>
      </w:r>
      <w:r w:rsidR="00000D8B">
        <w:rPr>
          <w:sz w:val="22"/>
          <w:szCs w:val="22"/>
        </w:rPr>
        <w:t xml:space="preserve"> (2019 AAA Foundation, Enhancing Drugged Driving Data: State-Level Recommendations and 2022 California Senate Bill 925); and</w:t>
      </w:r>
      <w:r w:rsidR="0007758F">
        <w:rPr>
          <w:sz w:val="22"/>
          <w:szCs w:val="22"/>
        </w:rPr>
        <w:t xml:space="preserve"> </w:t>
      </w:r>
      <w:r w:rsidR="00F03488">
        <w:rPr>
          <w:sz w:val="22"/>
          <w:szCs w:val="22"/>
        </w:rPr>
        <w:t>to improve collection of drug impaired driving data in serious injury and fatal vehicle crashes</w:t>
      </w:r>
      <w:r w:rsidR="00AA1F6D">
        <w:rPr>
          <w:sz w:val="22"/>
          <w:szCs w:val="22"/>
        </w:rPr>
        <w:t>; and</w:t>
      </w:r>
      <w:r w:rsidR="00F03488">
        <w:rPr>
          <w:sz w:val="22"/>
          <w:szCs w:val="22"/>
        </w:rPr>
        <w:t xml:space="preserve"> </w:t>
      </w:r>
    </w:p>
    <w:p w14:paraId="6A701CC0" w14:textId="77777777" w:rsidR="00AA1F6D" w:rsidRDefault="00AA1F6D" w:rsidP="009F3997">
      <w:pPr>
        <w:pStyle w:val="Default"/>
        <w:rPr>
          <w:sz w:val="22"/>
          <w:szCs w:val="22"/>
        </w:rPr>
      </w:pPr>
    </w:p>
    <w:p w14:paraId="2B5073B3" w14:textId="7C4FC1C4" w:rsidR="009F3997" w:rsidRDefault="00AA1F6D" w:rsidP="009F3997">
      <w:pPr>
        <w:pStyle w:val="Default"/>
        <w:rPr>
          <w:sz w:val="22"/>
          <w:szCs w:val="22"/>
        </w:rPr>
      </w:pPr>
      <w:proofErr w:type="gramStart"/>
      <w:r w:rsidRPr="00DE54FE">
        <w:rPr>
          <w:sz w:val="22"/>
          <w:szCs w:val="22"/>
        </w:rPr>
        <w:t>WHEREAS,</w:t>
      </w:r>
      <w:proofErr w:type="gramEnd"/>
      <w:r w:rsidRPr="00DE54FE">
        <w:rPr>
          <w:sz w:val="22"/>
          <w:szCs w:val="22"/>
        </w:rPr>
        <w:t xml:space="preserve"> the improved collection of drug impaired driving data will aid policing administrators in establishing proactive policies and practices to reduce impaired driving offenses.</w:t>
      </w:r>
      <w:r w:rsidR="009F3997">
        <w:rPr>
          <w:i/>
          <w:iCs/>
          <w:sz w:val="22"/>
          <w:szCs w:val="22"/>
        </w:rPr>
        <w:t xml:space="preserve"> </w:t>
      </w:r>
    </w:p>
    <w:p w14:paraId="6E949978" w14:textId="77777777" w:rsidR="009F3997" w:rsidRDefault="009F3997" w:rsidP="009F3997">
      <w:pPr>
        <w:pStyle w:val="Default"/>
        <w:rPr>
          <w:sz w:val="22"/>
          <w:szCs w:val="22"/>
        </w:rPr>
      </w:pPr>
    </w:p>
    <w:p w14:paraId="7A52FA50" w14:textId="11B2D865" w:rsidR="00F67A74" w:rsidRDefault="009F3997" w:rsidP="00F67A74">
      <w:pPr>
        <w:rPr>
          <w:sz w:val="22"/>
          <w:szCs w:val="22"/>
        </w:rPr>
      </w:pPr>
      <w:r w:rsidRPr="00F67A74">
        <w:rPr>
          <w:sz w:val="22"/>
          <w:szCs w:val="22"/>
        </w:rPr>
        <w:t>RESOLVED</w:t>
      </w:r>
      <w:r>
        <w:t xml:space="preserve">, </w:t>
      </w:r>
      <w:r w:rsidR="00DE54FE">
        <w:rPr>
          <w:sz w:val="22"/>
          <w:szCs w:val="22"/>
        </w:rPr>
        <w:t>police</w:t>
      </w:r>
      <w:r w:rsidR="00AA1F6D">
        <w:rPr>
          <w:sz w:val="22"/>
          <w:szCs w:val="22"/>
        </w:rPr>
        <w:t xml:space="preserve"> </w:t>
      </w:r>
      <w:r w:rsidR="00F67A74">
        <w:rPr>
          <w:sz w:val="22"/>
          <w:szCs w:val="22"/>
        </w:rPr>
        <w:t xml:space="preserve">leaders, Drug Evaluation Classification Program (DECP) State Coordinators, state highway safety offices, and other traffic safety organizations should promote </w:t>
      </w:r>
      <w:r w:rsidR="00F03488">
        <w:rPr>
          <w:sz w:val="22"/>
          <w:szCs w:val="22"/>
        </w:rPr>
        <w:t xml:space="preserve">enactment of </w:t>
      </w:r>
      <w:r w:rsidR="00F67A74">
        <w:rPr>
          <w:sz w:val="22"/>
          <w:szCs w:val="22"/>
        </w:rPr>
        <w:t>state laws, training programs, and</w:t>
      </w:r>
      <w:r w:rsidR="00C21D24">
        <w:rPr>
          <w:sz w:val="22"/>
          <w:szCs w:val="22"/>
        </w:rPr>
        <w:t>/or</w:t>
      </w:r>
      <w:r w:rsidR="00F67A74">
        <w:rPr>
          <w:sz w:val="22"/>
          <w:szCs w:val="22"/>
        </w:rPr>
        <w:t xml:space="preserve"> government policies that support</w:t>
      </w:r>
      <w:r w:rsidR="00F03488">
        <w:rPr>
          <w:sz w:val="22"/>
          <w:szCs w:val="22"/>
        </w:rPr>
        <w:t xml:space="preserve"> improved collection of drugged driving data through</w:t>
      </w:r>
      <w:r w:rsidR="00F67A74">
        <w:rPr>
          <w:sz w:val="22"/>
          <w:szCs w:val="22"/>
        </w:rPr>
        <w:t xml:space="preserve"> the following:</w:t>
      </w:r>
    </w:p>
    <w:p w14:paraId="5C59C273" w14:textId="77777777" w:rsidR="00F67A74" w:rsidRDefault="00F67A74" w:rsidP="00F67A74">
      <w:pPr>
        <w:rPr>
          <w:sz w:val="22"/>
          <w:szCs w:val="22"/>
        </w:rPr>
      </w:pPr>
    </w:p>
    <w:p w14:paraId="7A85AB7D" w14:textId="61F6DF0B" w:rsidR="00F67A74" w:rsidRDefault="00F67A74" w:rsidP="0007758F">
      <w:pPr>
        <w:numPr>
          <w:ilvl w:val="0"/>
          <w:numId w:val="1"/>
        </w:numPr>
        <w:spacing w:after="120"/>
        <w:rPr>
          <w:rFonts w:eastAsia="Times New Roman"/>
          <w:color w:val="000000"/>
          <w:sz w:val="22"/>
          <w:szCs w:val="22"/>
        </w:rPr>
      </w:pPr>
      <w:r>
        <w:rPr>
          <w:rFonts w:eastAsia="Times New Roman"/>
          <w:color w:val="000000"/>
          <w:sz w:val="22"/>
          <w:szCs w:val="22"/>
        </w:rPr>
        <w:lastRenderedPageBreak/>
        <w:t>Required response of a Drug Recognition Expert (DRE)</w:t>
      </w:r>
      <w:r w:rsidR="00DC7B32">
        <w:rPr>
          <w:rFonts w:eastAsia="Times New Roman"/>
          <w:color w:val="000000"/>
          <w:sz w:val="22"/>
          <w:szCs w:val="22"/>
        </w:rPr>
        <w:t>, whenever p</w:t>
      </w:r>
      <w:r w:rsidR="00C21D24">
        <w:rPr>
          <w:rFonts w:eastAsia="Times New Roman"/>
          <w:color w:val="000000"/>
          <w:sz w:val="22"/>
          <w:szCs w:val="22"/>
        </w:rPr>
        <w:t>racticable</w:t>
      </w:r>
      <w:r w:rsidR="00DC7B32">
        <w:rPr>
          <w:rFonts w:eastAsia="Times New Roman"/>
          <w:color w:val="000000"/>
          <w:sz w:val="22"/>
          <w:szCs w:val="22"/>
        </w:rPr>
        <w:t>,</w:t>
      </w:r>
      <w:r>
        <w:rPr>
          <w:rFonts w:eastAsia="Times New Roman"/>
          <w:color w:val="000000"/>
          <w:sz w:val="22"/>
          <w:szCs w:val="22"/>
        </w:rPr>
        <w:t xml:space="preserve"> to assist with investigation of any vehicle crash with potentially fatal injuries if a potentially at-fault driver is alive</w:t>
      </w:r>
      <w:r w:rsidR="000C7715">
        <w:rPr>
          <w:rFonts w:eastAsia="Times New Roman"/>
          <w:color w:val="000000"/>
          <w:sz w:val="22"/>
          <w:szCs w:val="22"/>
        </w:rPr>
        <w:t>.</w:t>
      </w:r>
      <w:r w:rsidR="00CA4B7F">
        <w:rPr>
          <w:rStyle w:val="FootnoteReference"/>
          <w:rFonts w:eastAsia="Times New Roman"/>
          <w:color w:val="000000"/>
          <w:sz w:val="22"/>
          <w:szCs w:val="22"/>
        </w:rPr>
        <w:footnoteReference w:id="2"/>
      </w:r>
    </w:p>
    <w:p w14:paraId="7510C1F5" w14:textId="43388B51" w:rsidR="00F67A74" w:rsidRDefault="00F03488" w:rsidP="0007758F">
      <w:pPr>
        <w:numPr>
          <w:ilvl w:val="0"/>
          <w:numId w:val="1"/>
        </w:numPr>
        <w:spacing w:after="120"/>
        <w:rPr>
          <w:rFonts w:eastAsia="Times New Roman"/>
          <w:color w:val="000000"/>
          <w:sz w:val="22"/>
          <w:szCs w:val="22"/>
        </w:rPr>
      </w:pPr>
      <w:r>
        <w:rPr>
          <w:rFonts w:eastAsia="Times New Roman"/>
          <w:color w:val="000000"/>
          <w:sz w:val="22"/>
          <w:szCs w:val="22"/>
        </w:rPr>
        <w:t>R</w:t>
      </w:r>
      <w:r w:rsidR="00F67A74">
        <w:rPr>
          <w:rFonts w:eastAsia="Times New Roman"/>
          <w:color w:val="000000"/>
          <w:sz w:val="22"/>
          <w:szCs w:val="22"/>
        </w:rPr>
        <w:t xml:space="preserve">equired collection of </w:t>
      </w:r>
      <w:r w:rsidR="007B72FB">
        <w:rPr>
          <w:rFonts w:eastAsia="Times New Roman"/>
          <w:color w:val="000000"/>
          <w:sz w:val="22"/>
          <w:szCs w:val="22"/>
        </w:rPr>
        <w:t xml:space="preserve">a </w:t>
      </w:r>
      <w:r w:rsidR="00F67A74">
        <w:rPr>
          <w:rFonts w:eastAsia="Times New Roman"/>
          <w:color w:val="000000"/>
          <w:sz w:val="22"/>
          <w:szCs w:val="22"/>
        </w:rPr>
        <w:t>forensically acceptable blood sample from all fatally injured drivers</w:t>
      </w:r>
      <w:r w:rsidR="000C7715">
        <w:rPr>
          <w:rFonts w:eastAsia="Times New Roman"/>
          <w:color w:val="000000"/>
          <w:sz w:val="22"/>
          <w:szCs w:val="22"/>
        </w:rPr>
        <w:t>.</w:t>
      </w:r>
      <w:r w:rsidR="000C7715">
        <w:rPr>
          <w:rStyle w:val="FootnoteReference"/>
          <w:rFonts w:eastAsia="Times New Roman"/>
          <w:color w:val="000000"/>
          <w:sz w:val="22"/>
          <w:szCs w:val="22"/>
        </w:rPr>
        <w:footnoteReference w:id="3"/>
      </w:r>
      <w:r w:rsidR="00CC05F2">
        <w:rPr>
          <w:rFonts w:eastAsia="Times New Roman"/>
          <w:color w:val="000000"/>
          <w:sz w:val="22"/>
          <w:szCs w:val="22"/>
          <w:vertAlign w:val="superscript"/>
        </w:rPr>
        <w:t>,</w:t>
      </w:r>
      <w:r w:rsidR="00CC05F2">
        <w:rPr>
          <w:rStyle w:val="FootnoteReference"/>
          <w:rFonts w:eastAsia="Times New Roman"/>
          <w:color w:val="000000"/>
          <w:sz w:val="22"/>
          <w:szCs w:val="22"/>
        </w:rPr>
        <w:footnoteReference w:id="4"/>
      </w:r>
    </w:p>
    <w:p w14:paraId="1EEDD568" w14:textId="7D2C0F41" w:rsidR="00F67A74" w:rsidRDefault="00F67A74" w:rsidP="0007758F">
      <w:pPr>
        <w:numPr>
          <w:ilvl w:val="1"/>
          <w:numId w:val="1"/>
        </w:numPr>
        <w:spacing w:after="120"/>
        <w:rPr>
          <w:rFonts w:eastAsia="Times New Roman"/>
          <w:color w:val="000000"/>
          <w:sz w:val="22"/>
          <w:szCs w:val="22"/>
        </w:rPr>
      </w:pPr>
      <w:r>
        <w:rPr>
          <w:rFonts w:eastAsia="Times New Roman"/>
          <w:color w:val="000000"/>
          <w:sz w:val="22"/>
          <w:szCs w:val="22"/>
        </w:rPr>
        <w:t xml:space="preserve">Such postmortem blood specimens shall be femoral or subclavian to reduce </w:t>
      </w:r>
      <w:r w:rsidR="000C7715">
        <w:rPr>
          <w:rFonts w:eastAsia="Times New Roman"/>
          <w:color w:val="000000"/>
          <w:sz w:val="22"/>
          <w:szCs w:val="22"/>
        </w:rPr>
        <w:t>the risk</w:t>
      </w:r>
      <w:r>
        <w:rPr>
          <w:rFonts w:eastAsia="Times New Roman"/>
          <w:color w:val="000000"/>
          <w:sz w:val="22"/>
          <w:szCs w:val="22"/>
        </w:rPr>
        <w:t xml:space="preserve"> of contamination from unabsorbed alcohol in the stomach. </w:t>
      </w:r>
    </w:p>
    <w:p w14:paraId="2520C4EF" w14:textId="77777777" w:rsidR="00F67A74" w:rsidRDefault="00F67A74" w:rsidP="0007758F">
      <w:pPr>
        <w:numPr>
          <w:ilvl w:val="1"/>
          <w:numId w:val="1"/>
        </w:numPr>
        <w:spacing w:after="120"/>
        <w:rPr>
          <w:rFonts w:eastAsia="Times New Roman"/>
          <w:color w:val="000000"/>
          <w:sz w:val="22"/>
          <w:szCs w:val="22"/>
        </w:rPr>
      </w:pPr>
      <w:r>
        <w:rPr>
          <w:rFonts w:eastAsia="Times New Roman"/>
          <w:color w:val="000000"/>
          <w:sz w:val="22"/>
          <w:szCs w:val="22"/>
        </w:rPr>
        <w:t xml:space="preserve">Vitreous humor can be collected in addition to femoral or subclavian blood, or in replacement of such blood sample in the case that the blood sample cannot be collected. </w:t>
      </w:r>
    </w:p>
    <w:p w14:paraId="752FC99B" w14:textId="42DC8270" w:rsidR="00F67A74" w:rsidRPr="00D44662" w:rsidRDefault="00F67A74" w:rsidP="0007758F">
      <w:pPr>
        <w:numPr>
          <w:ilvl w:val="0"/>
          <w:numId w:val="1"/>
        </w:numPr>
        <w:spacing w:after="120"/>
        <w:rPr>
          <w:rFonts w:eastAsia="Times New Roman"/>
          <w:color w:val="000000"/>
          <w:sz w:val="22"/>
          <w:szCs w:val="22"/>
        </w:rPr>
      </w:pPr>
      <w:r>
        <w:rPr>
          <w:rFonts w:eastAsia="Times New Roman"/>
          <w:color w:val="000000"/>
          <w:sz w:val="22"/>
          <w:szCs w:val="22"/>
        </w:rPr>
        <w:t xml:space="preserve">Required collection of a forensic blood sample, with a search </w:t>
      </w:r>
      <w:r w:rsidR="00D44662">
        <w:rPr>
          <w:rFonts w:eastAsia="Times New Roman"/>
          <w:color w:val="000000"/>
          <w:sz w:val="22"/>
          <w:szCs w:val="22"/>
        </w:rPr>
        <w:t>warrant,</w:t>
      </w:r>
      <w:r>
        <w:rPr>
          <w:rFonts w:eastAsia="Times New Roman"/>
          <w:color w:val="000000"/>
          <w:sz w:val="22"/>
          <w:szCs w:val="22"/>
        </w:rPr>
        <w:t xml:space="preserve"> if necessary, from living drivers in any case where probable cause exists to believe the driver was impaired at the time of crash</w:t>
      </w:r>
      <w:r w:rsidR="000C7715">
        <w:rPr>
          <w:rFonts w:eastAsia="Times New Roman"/>
          <w:color w:val="000000"/>
          <w:sz w:val="22"/>
          <w:szCs w:val="22"/>
        </w:rPr>
        <w:t>.</w:t>
      </w:r>
      <w:r w:rsidR="000C7715">
        <w:rPr>
          <w:rStyle w:val="FootnoteReference"/>
          <w:rFonts w:eastAsia="Times New Roman"/>
          <w:color w:val="000000"/>
          <w:sz w:val="22"/>
          <w:szCs w:val="22"/>
        </w:rPr>
        <w:footnoteReference w:id="5"/>
      </w:r>
      <w:r w:rsidR="00CC05F2">
        <w:rPr>
          <w:rFonts w:eastAsia="Times New Roman"/>
          <w:color w:val="000000"/>
          <w:sz w:val="22"/>
          <w:szCs w:val="22"/>
          <w:vertAlign w:val="superscript"/>
        </w:rPr>
        <w:t>,</w:t>
      </w:r>
      <w:r w:rsidR="00CC05F2">
        <w:rPr>
          <w:rStyle w:val="FootnoteReference"/>
          <w:rFonts w:eastAsia="Times New Roman"/>
          <w:color w:val="000000"/>
          <w:sz w:val="22"/>
          <w:szCs w:val="22"/>
        </w:rPr>
        <w:footnoteReference w:id="6"/>
      </w:r>
      <w:r w:rsidR="00D44662">
        <w:rPr>
          <w:rFonts w:eastAsia="Times New Roman"/>
          <w:color w:val="000000"/>
          <w:sz w:val="22"/>
          <w:szCs w:val="22"/>
        </w:rPr>
        <w:t xml:space="preserve"> </w:t>
      </w:r>
    </w:p>
    <w:p w14:paraId="455635C5" w14:textId="1DCC95F5" w:rsidR="00F67A74" w:rsidRDefault="00F67A74" w:rsidP="0007758F">
      <w:pPr>
        <w:numPr>
          <w:ilvl w:val="0"/>
          <w:numId w:val="1"/>
        </w:numPr>
        <w:spacing w:after="120"/>
        <w:rPr>
          <w:rFonts w:eastAsia="Times New Roman"/>
          <w:color w:val="000000"/>
          <w:sz w:val="22"/>
          <w:szCs w:val="22"/>
        </w:rPr>
      </w:pPr>
      <w:r>
        <w:rPr>
          <w:rFonts w:eastAsia="Times New Roman"/>
          <w:color w:val="000000"/>
          <w:sz w:val="22"/>
          <w:szCs w:val="22"/>
        </w:rPr>
        <w:t xml:space="preserve">Encouraged collection of </w:t>
      </w:r>
      <w:r w:rsidR="00CC05F2">
        <w:rPr>
          <w:rFonts w:eastAsia="Times New Roman"/>
          <w:color w:val="000000"/>
          <w:sz w:val="22"/>
          <w:szCs w:val="22"/>
        </w:rPr>
        <w:t>blood samples</w:t>
      </w:r>
      <w:r>
        <w:rPr>
          <w:rFonts w:eastAsia="Times New Roman"/>
          <w:color w:val="000000"/>
          <w:sz w:val="22"/>
          <w:szCs w:val="22"/>
        </w:rPr>
        <w:t xml:space="preserve"> from all living drivers in a fatal crash, including by valid consent where applicable</w:t>
      </w:r>
      <w:r w:rsidR="0026270A">
        <w:rPr>
          <w:rStyle w:val="FootnoteReference"/>
          <w:rFonts w:eastAsia="Times New Roman"/>
          <w:color w:val="000000"/>
          <w:sz w:val="22"/>
          <w:szCs w:val="22"/>
        </w:rPr>
        <w:footnoteReference w:id="7"/>
      </w:r>
      <w:r>
        <w:rPr>
          <w:rFonts w:eastAsia="Times New Roman"/>
          <w:color w:val="000000"/>
          <w:sz w:val="22"/>
          <w:szCs w:val="22"/>
        </w:rPr>
        <w:t xml:space="preserve">. </w:t>
      </w:r>
    </w:p>
    <w:p w14:paraId="1759A727" w14:textId="53E32352" w:rsidR="00F67A74" w:rsidRDefault="00633497" w:rsidP="0007758F">
      <w:pPr>
        <w:numPr>
          <w:ilvl w:val="0"/>
          <w:numId w:val="1"/>
        </w:numPr>
        <w:spacing w:after="120"/>
        <w:rPr>
          <w:rFonts w:eastAsia="Times New Roman"/>
          <w:color w:val="000000"/>
          <w:sz w:val="22"/>
          <w:szCs w:val="22"/>
        </w:rPr>
      </w:pPr>
      <w:r>
        <w:rPr>
          <w:rFonts w:eastAsia="Times New Roman"/>
          <w:color w:val="000000"/>
          <w:sz w:val="22"/>
          <w:szCs w:val="22"/>
        </w:rPr>
        <w:t>If a blood sample is not otherwise collected: r</w:t>
      </w:r>
      <w:r w:rsidR="00F67A74">
        <w:rPr>
          <w:rFonts w:eastAsia="Times New Roman"/>
          <w:color w:val="000000"/>
          <w:sz w:val="22"/>
          <w:szCs w:val="22"/>
        </w:rPr>
        <w:t xml:space="preserve">equired preservation, evidentiary collection, and forensic testing of pre-admission and/or admission </w:t>
      </w:r>
      <w:r>
        <w:rPr>
          <w:rFonts w:eastAsia="Times New Roman"/>
          <w:color w:val="000000"/>
          <w:sz w:val="22"/>
          <w:szCs w:val="22"/>
        </w:rPr>
        <w:t xml:space="preserve">hospital </w:t>
      </w:r>
      <w:r w:rsidR="00F67A74">
        <w:rPr>
          <w:rFonts w:eastAsia="Times New Roman"/>
          <w:color w:val="000000"/>
          <w:sz w:val="22"/>
          <w:szCs w:val="22"/>
        </w:rPr>
        <w:t>blood samples from drivers involved with fatal crashes if they are transported / admitted to a hospital.</w:t>
      </w:r>
    </w:p>
    <w:p w14:paraId="656E3BD0" w14:textId="7BAD368B" w:rsidR="00F67A74" w:rsidRDefault="00F67A74" w:rsidP="0007758F">
      <w:pPr>
        <w:numPr>
          <w:ilvl w:val="0"/>
          <w:numId w:val="1"/>
        </w:numPr>
        <w:spacing w:after="120"/>
        <w:rPr>
          <w:rFonts w:eastAsia="Times New Roman"/>
          <w:color w:val="000000"/>
          <w:sz w:val="22"/>
          <w:szCs w:val="22"/>
        </w:rPr>
      </w:pPr>
      <w:r>
        <w:rPr>
          <w:rFonts w:eastAsia="Times New Roman"/>
          <w:color w:val="000000"/>
          <w:sz w:val="22"/>
          <w:szCs w:val="22"/>
        </w:rPr>
        <w:t>Required testing of all blood samples related to a fatal crash for both alcohol and other drugs, regardless of the determined blood alcohol concentration.</w:t>
      </w:r>
      <w:r w:rsidR="00E07505">
        <w:rPr>
          <w:rStyle w:val="FootnoteReference"/>
          <w:rFonts w:eastAsia="Times New Roman"/>
          <w:color w:val="000000"/>
          <w:sz w:val="22"/>
          <w:szCs w:val="22"/>
        </w:rPr>
        <w:footnoteReference w:id="8"/>
      </w:r>
    </w:p>
    <w:p w14:paraId="50F980B0" w14:textId="065D8C13" w:rsidR="00F67A74" w:rsidRDefault="00F67A74" w:rsidP="0007758F">
      <w:pPr>
        <w:numPr>
          <w:ilvl w:val="0"/>
          <w:numId w:val="1"/>
        </w:numPr>
        <w:spacing w:after="120"/>
        <w:rPr>
          <w:rFonts w:eastAsia="Times New Roman"/>
          <w:color w:val="000000"/>
          <w:sz w:val="22"/>
          <w:szCs w:val="22"/>
        </w:rPr>
      </w:pPr>
      <w:r>
        <w:rPr>
          <w:rFonts w:eastAsia="Times New Roman"/>
          <w:color w:val="000000"/>
          <w:sz w:val="22"/>
          <w:szCs w:val="22"/>
        </w:rPr>
        <w:t>Required minimum scope and sensitivity of drug testing on fatal crash</w:t>
      </w:r>
      <w:r w:rsidR="00C21D24">
        <w:rPr>
          <w:rFonts w:eastAsia="Times New Roman"/>
          <w:color w:val="000000"/>
          <w:sz w:val="22"/>
          <w:szCs w:val="22"/>
        </w:rPr>
        <w:t>es</w:t>
      </w:r>
      <w:r>
        <w:rPr>
          <w:rFonts w:eastAsia="Times New Roman"/>
          <w:color w:val="000000"/>
          <w:sz w:val="22"/>
          <w:szCs w:val="22"/>
        </w:rPr>
        <w:t xml:space="preserve"> </w:t>
      </w:r>
      <w:r w:rsidR="007B72FB">
        <w:rPr>
          <w:rFonts w:eastAsia="Times New Roman"/>
          <w:color w:val="000000"/>
          <w:sz w:val="22"/>
          <w:szCs w:val="22"/>
        </w:rPr>
        <w:t>that includes at minimum,</w:t>
      </w:r>
      <w:r>
        <w:rPr>
          <w:rFonts w:eastAsia="Times New Roman"/>
          <w:color w:val="000000"/>
          <w:sz w:val="22"/>
          <w:szCs w:val="22"/>
        </w:rPr>
        <w:t xml:space="preserve"> the National Safety Council Tier I recommendations</w:t>
      </w:r>
      <w:r w:rsidR="007B72FB">
        <w:rPr>
          <w:rFonts w:eastAsia="Times New Roman"/>
          <w:color w:val="000000"/>
          <w:sz w:val="22"/>
          <w:szCs w:val="22"/>
        </w:rPr>
        <w:t xml:space="preserve"> as detailed in </w:t>
      </w:r>
      <w:hyperlink r:id="rId11" w:history="1">
        <w:r w:rsidR="007B72FB" w:rsidRPr="007B72FB">
          <w:rPr>
            <w:rStyle w:val="Hyperlink"/>
            <w:rFonts w:eastAsia="Times New Roman"/>
            <w:sz w:val="22"/>
            <w:szCs w:val="22"/>
          </w:rPr>
          <w:t xml:space="preserve">Recommendations </w:t>
        </w:r>
        <w:r w:rsidR="007B72FB" w:rsidRPr="007B72FB">
          <w:rPr>
            <w:rStyle w:val="Hyperlink"/>
            <w:rFonts w:eastAsia="Times New Roman"/>
            <w:sz w:val="22"/>
            <w:szCs w:val="22"/>
          </w:rPr>
          <w:lastRenderedPageBreak/>
          <w:t xml:space="preserve">for Toxicological Investigation of Drug-Impaired Driving and Motor Vehicle Fatalities-2021 Update. (J Anal </w:t>
        </w:r>
        <w:proofErr w:type="spellStart"/>
        <w:r w:rsidR="007B72FB" w:rsidRPr="007B72FB">
          <w:rPr>
            <w:rStyle w:val="Hyperlink"/>
            <w:rFonts w:eastAsia="Times New Roman"/>
            <w:sz w:val="22"/>
            <w:szCs w:val="22"/>
          </w:rPr>
          <w:t>Toxicol</w:t>
        </w:r>
        <w:proofErr w:type="spellEnd"/>
        <w:r w:rsidR="007B72FB" w:rsidRPr="007B72FB">
          <w:rPr>
            <w:rStyle w:val="Hyperlink"/>
            <w:rFonts w:eastAsia="Times New Roman"/>
            <w:sz w:val="22"/>
            <w:szCs w:val="22"/>
          </w:rPr>
          <w:t>. 2021 Jul 10;45(6):529-536.)</w:t>
        </w:r>
      </w:hyperlink>
      <w:r w:rsidR="007B72FB">
        <w:rPr>
          <w:rFonts w:eastAsia="Times New Roman"/>
          <w:color w:val="000000"/>
          <w:sz w:val="22"/>
          <w:szCs w:val="22"/>
        </w:rPr>
        <w:t xml:space="preserve"> </w:t>
      </w:r>
      <w:r>
        <w:rPr>
          <w:rFonts w:eastAsia="Times New Roman"/>
          <w:color w:val="000000"/>
          <w:sz w:val="22"/>
          <w:szCs w:val="22"/>
        </w:rPr>
        <w:t xml:space="preserve"> </w:t>
      </w:r>
    </w:p>
    <w:p w14:paraId="33E0824C" w14:textId="4C388343" w:rsidR="000C7715" w:rsidRPr="0026270A" w:rsidRDefault="00F03488" w:rsidP="0026270A">
      <w:pPr>
        <w:pStyle w:val="Default"/>
        <w:numPr>
          <w:ilvl w:val="0"/>
          <w:numId w:val="1"/>
        </w:numPr>
        <w:spacing w:after="120"/>
        <w:rPr>
          <w:sz w:val="22"/>
          <w:szCs w:val="22"/>
        </w:rPr>
      </w:pPr>
      <w:r>
        <w:rPr>
          <w:sz w:val="22"/>
          <w:szCs w:val="22"/>
        </w:rPr>
        <w:t>Required reporting of toxicology findings</w:t>
      </w:r>
      <w:r w:rsidR="00DC7B32">
        <w:rPr>
          <w:sz w:val="22"/>
          <w:szCs w:val="22"/>
        </w:rPr>
        <w:t>, and the role of the subject in the fatal crash (e.g., driver, pedestrian,</w:t>
      </w:r>
      <w:r w:rsidR="0026270A">
        <w:rPr>
          <w:sz w:val="22"/>
          <w:szCs w:val="22"/>
        </w:rPr>
        <w:t xml:space="preserve"> at-fault/no-fault,</w:t>
      </w:r>
      <w:r w:rsidR="00DC7B32">
        <w:rPr>
          <w:sz w:val="22"/>
          <w:szCs w:val="22"/>
        </w:rPr>
        <w:t xml:space="preserve"> etc.)</w:t>
      </w:r>
      <w:r>
        <w:rPr>
          <w:sz w:val="22"/>
          <w:szCs w:val="22"/>
        </w:rPr>
        <w:t xml:space="preserve"> to FARS and other applicable databases</w:t>
      </w:r>
      <w:r w:rsidR="0026270A">
        <w:rPr>
          <w:sz w:val="22"/>
          <w:szCs w:val="22"/>
        </w:rPr>
        <w:t>.</w:t>
      </w:r>
      <w:r w:rsidR="0026270A">
        <w:rPr>
          <w:rStyle w:val="FootnoteReference"/>
          <w:sz w:val="22"/>
          <w:szCs w:val="22"/>
        </w:rPr>
        <w:footnoteReference w:id="9"/>
      </w:r>
      <w:r w:rsidR="00940042">
        <w:rPr>
          <w:sz w:val="22"/>
          <w:szCs w:val="22"/>
        </w:rPr>
        <w:t xml:space="preserve"> </w:t>
      </w:r>
    </w:p>
    <w:sectPr w:rsidR="000C7715" w:rsidRPr="0026270A" w:rsidSect="003B4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BEEE" w14:textId="77777777" w:rsidR="00755153" w:rsidRDefault="00755153" w:rsidP="00CA4B7F">
      <w:r>
        <w:separator/>
      </w:r>
    </w:p>
  </w:endnote>
  <w:endnote w:type="continuationSeparator" w:id="0">
    <w:p w14:paraId="43F364E4" w14:textId="77777777" w:rsidR="00755153" w:rsidRDefault="00755153" w:rsidP="00CA4B7F">
      <w:r>
        <w:continuationSeparator/>
      </w:r>
    </w:p>
  </w:endnote>
  <w:endnote w:type="continuationNotice" w:id="1">
    <w:p w14:paraId="1A22A7EE" w14:textId="77777777" w:rsidR="00755153" w:rsidRDefault="00755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8E90" w14:textId="77777777" w:rsidR="00755153" w:rsidRDefault="00755153" w:rsidP="00CA4B7F">
      <w:r>
        <w:separator/>
      </w:r>
    </w:p>
  </w:footnote>
  <w:footnote w:type="continuationSeparator" w:id="0">
    <w:p w14:paraId="09141794" w14:textId="77777777" w:rsidR="00755153" w:rsidRDefault="00755153" w:rsidP="00CA4B7F">
      <w:r>
        <w:continuationSeparator/>
      </w:r>
    </w:p>
  </w:footnote>
  <w:footnote w:type="continuationNotice" w:id="1">
    <w:p w14:paraId="45054FE2" w14:textId="77777777" w:rsidR="00755153" w:rsidRDefault="00755153"/>
  </w:footnote>
  <w:footnote w:id="2">
    <w:p w14:paraId="230F9603" w14:textId="499B3BB1" w:rsidR="000C7715" w:rsidRPr="000C7715" w:rsidRDefault="00CA4B7F">
      <w:pPr>
        <w:pStyle w:val="FootnoteText"/>
        <w:rPr>
          <w:sz w:val="22"/>
          <w:szCs w:val="22"/>
        </w:rPr>
      </w:pPr>
      <w:r>
        <w:rPr>
          <w:rStyle w:val="FootnoteReference"/>
        </w:rPr>
        <w:footnoteRef/>
      </w:r>
      <w:r>
        <w:rPr>
          <w:sz w:val="22"/>
          <w:szCs w:val="22"/>
        </w:rPr>
        <w:t>For further information</w:t>
      </w:r>
      <w:r w:rsidR="000C7715">
        <w:rPr>
          <w:sz w:val="22"/>
          <w:szCs w:val="22"/>
        </w:rPr>
        <w:t xml:space="preserve"> see</w:t>
      </w:r>
      <w:r>
        <w:rPr>
          <w:sz w:val="22"/>
          <w:szCs w:val="22"/>
        </w:rPr>
        <w:t>:</w:t>
      </w:r>
      <w:r>
        <w:t xml:space="preserve"> </w:t>
      </w:r>
      <w:r w:rsidRPr="00D44662">
        <w:rPr>
          <w:sz w:val="22"/>
          <w:szCs w:val="22"/>
        </w:rPr>
        <w:t>AAA Foundation for Traffic Safety (2018). Leveraging and Enhancing Alcohol Countermeasures to Reduce Drugged Driving: Enforcement, Legal and Policy-Based Approaches (Research Brief). Washington, D.C</w:t>
      </w:r>
      <w:r w:rsidR="000C7715">
        <w:rPr>
          <w:sz w:val="22"/>
          <w:szCs w:val="22"/>
        </w:rPr>
        <w:t>.</w:t>
      </w:r>
      <w:r w:rsidR="000C7715">
        <w:rPr>
          <w:sz w:val="22"/>
          <w:szCs w:val="22"/>
        </w:rPr>
        <w:br/>
      </w:r>
    </w:p>
  </w:footnote>
  <w:footnote w:id="3">
    <w:p w14:paraId="48ACED3A" w14:textId="778522F6" w:rsidR="000C7715" w:rsidRPr="00E07505" w:rsidRDefault="000C7715">
      <w:pPr>
        <w:pStyle w:val="FootnoteText"/>
        <w:rPr>
          <w:rFonts w:asciiTheme="minorHAnsi" w:eastAsia="Times New Roman" w:hAnsiTheme="minorHAnsi" w:cstheme="minorHAnsi"/>
          <w:color w:val="000000"/>
          <w:sz w:val="22"/>
          <w:szCs w:val="22"/>
        </w:rPr>
      </w:pPr>
      <w:r w:rsidRPr="00E07505">
        <w:rPr>
          <w:rStyle w:val="FootnoteReference"/>
          <w:rFonts w:asciiTheme="minorHAnsi" w:hAnsiTheme="minorHAnsi" w:cstheme="minorHAnsi"/>
        </w:rPr>
        <w:footnoteRef/>
      </w:r>
      <w:r w:rsidRPr="00E07505">
        <w:rPr>
          <w:rFonts w:asciiTheme="minorHAnsi" w:hAnsiTheme="minorHAnsi" w:cstheme="minorHAnsi"/>
        </w:rPr>
        <w:t xml:space="preserve"> </w:t>
      </w:r>
      <w:r w:rsidRPr="00E07505">
        <w:rPr>
          <w:rFonts w:asciiTheme="minorHAnsi" w:hAnsiTheme="minorHAnsi" w:cstheme="minorHAnsi"/>
          <w:sz w:val="22"/>
          <w:szCs w:val="22"/>
        </w:rPr>
        <w:t>For further information, see</w:t>
      </w:r>
      <w:r w:rsidRPr="00E07505">
        <w:rPr>
          <w:rFonts w:asciiTheme="minorHAnsi" w:hAnsiTheme="minorHAnsi" w:cstheme="minorHAnsi"/>
        </w:rPr>
        <w:t xml:space="preserve">: </w:t>
      </w:r>
      <w:r w:rsidRPr="00E07505">
        <w:rPr>
          <w:rFonts w:asciiTheme="minorHAnsi" w:eastAsia="Times New Roman" w:hAnsiTheme="minorHAnsi" w:cstheme="minorHAnsi"/>
          <w:color w:val="000000"/>
          <w:sz w:val="22"/>
          <w:szCs w:val="22"/>
        </w:rPr>
        <w:t xml:space="preserve">Wagner, J.R., Caplan, Y.H., and Goldberger, B.A. Blood, urine, and other fluid and tissue specimens for alcohol analyses.  In Y.H. Caplan and B.A. Goldberger (Ed.), </w:t>
      </w:r>
      <w:r w:rsidRPr="00E07505">
        <w:rPr>
          <w:rFonts w:asciiTheme="minorHAnsi" w:eastAsia="Times New Roman" w:hAnsiTheme="minorHAnsi" w:cstheme="minorHAnsi"/>
          <w:i/>
          <w:iCs/>
          <w:color w:val="000000"/>
          <w:sz w:val="22"/>
          <w:szCs w:val="22"/>
        </w:rPr>
        <w:t xml:space="preserve">Garriott's Medicolegal Aspects of Alcohol, Sixth Edition. </w:t>
      </w:r>
      <w:r w:rsidRPr="00E07505">
        <w:rPr>
          <w:rFonts w:asciiTheme="minorHAnsi" w:eastAsia="Times New Roman" w:hAnsiTheme="minorHAnsi" w:cstheme="minorHAnsi"/>
          <w:color w:val="000000"/>
          <w:sz w:val="22"/>
          <w:szCs w:val="22"/>
        </w:rPr>
        <w:t>Tucson: Lawyers &amp; Judges Publishing Company, Inc., 2015, pp. 197</w:t>
      </w:r>
    </w:p>
    <w:p w14:paraId="799F06B3" w14:textId="77777777" w:rsidR="00CC05F2" w:rsidRPr="00E07505" w:rsidRDefault="00CC05F2">
      <w:pPr>
        <w:pStyle w:val="FootnoteText"/>
        <w:rPr>
          <w:rFonts w:asciiTheme="minorHAnsi" w:hAnsiTheme="minorHAnsi" w:cstheme="minorHAnsi"/>
        </w:rPr>
      </w:pPr>
    </w:p>
  </w:footnote>
  <w:footnote w:id="4">
    <w:p w14:paraId="590DCB03" w14:textId="1B7EFC96" w:rsidR="00CC05F2" w:rsidRPr="00E07505" w:rsidRDefault="00CC05F2">
      <w:pPr>
        <w:pStyle w:val="FootnoteText"/>
        <w:rPr>
          <w:rFonts w:asciiTheme="minorHAnsi" w:hAnsiTheme="minorHAnsi" w:cstheme="minorHAnsi"/>
          <w:color w:val="212121"/>
          <w:sz w:val="22"/>
          <w:szCs w:val="22"/>
          <w:shd w:val="clear" w:color="auto" w:fill="FFFFFF"/>
        </w:rPr>
      </w:pPr>
      <w:r w:rsidRPr="00E07505">
        <w:rPr>
          <w:rStyle w:val="FootnoteReference"/>
          <w:rFonts w:asciiTheme="minorHAnsi" w:hAnsiTheme="minorHAnsi" w:cstheme="minorHAnsi"/>
        </w:rPr>
        <w:footnoteRef/>
      </w:r>
      <w:r w:rsidRPr="00E07505">
        <w:rPr>
          <w:rFonts w:asciiTheme="minorHAnsi" w:hAnsiTheme="minorHAnsi" w:cstheme="minorHAnsi"/>
        </w:rPr>
        <w:t xml:space="preserve"> </w:t>
      </w:r>
      <w:r w:rsidRPr="00E07505">
        <w:rPr>
          <w:rFonts w:asciiTheme="minorHAnsi" w:hAnsiTheme="minorHAnsi" w:cstheme="minorHAnsi"/>
          <w:color w:val="212121"/>
          <w:sz w:val="22"/>
          <w:szCs w:val="22"/>
          <w:shd w:val="clear" w:color="auto" w:fill="FFFFFF"/>
        </w:rPr>
        <w:t xml:space="preserve">Flanagan RJ, Connally G, Evans JM. Analytical toxicology: guidelines for sample collection postmortem. </w:t>
      </w:r>
      <w:r w:rsidRPr="00E07505">
        <w:rPr>
          <w:rFonts w:asciiTheme="minorHAnsi" w:hAnsiTheme="minorHAnsi" w:cstheme="minorHAnsi"/>
          <w:color w:val="212121"/>
          <w:sz w:val="22"/>
          <w:szCs w:val="22"/>
          <w:shd w:val="clear" w:color="auto" w:fill="FFFFFF"/>
        </w:rPr>
        <w:t>Toxicol Rev. 2005;24(1):63-71</w:t>
      </w:r>
    </w:p>
    <w:p w14:paraId="3DC4ED3D" w14:textId="77777777" w:rsidR="00CC05F2" w:rsidRPr="00E07505" w:rsidRDefault="00CC05F2">
      <w:pPr>
        <w:pStyle w:val="FootnoteText"/>
        <w:rPr>
          <w:rFonts w:asciiTheme="minorHAnsi" w:hAnsiTheme="minorHAnsi" w:cstheme="minorHAnsi"/>
        </w:rPr>
      </w:pPr>
    </w:p>
  </w:footnote>
  <w:footnote w:id="5">
    <w:p w14:paraId="7CB50A7D" w14:textId="4EDA9472" w:rsidR="000C7715" w:rsidRPr="00E07505" w:rsidRDefault="000C7715">
      <w:pPr>
        <w:pStyle w:val="FootnoteText"/>
        <w:rPr>
          <w:rFonts w:asciiTheme="minorHAnsi" w:hAnsiTheme="minorHAnsi" w:cstheme="minorHAnsi"/>
          <w:sz w:val="22"/>
          <w:szCs w:val="22"/>
        </w:rPr>
      </w:pPr>
      <w:r w:rsidRPr="00E07505">
        <w:rPr>
          <w:rStyle w:val="FootnoteReference"/>
          <w:rFonts w:asciiTheme="minorHAnsi" w:hAnsiTheme="minorHAnsi" w:cstheme="minorHAnsi"/>
        </w:rPr>
        <w:footnoteRef/>
      </w:r>
      <w:r w:rsidRPr="00E07505">
        <w:rPr>
          <w:rFonts w:asciiTheme="minorHAnsi" w:hAnsiTheme="minorHAnsi" w:cstheme="minorHAnsi"/>
        </w:rPr>
        <w:t xml:space="preserve"> </w:t>
      </w:r>
      <w:r w:rsidRPr="00E07505">
        <w:rPr>
          <w:rFonts w:asciiTheme="minorHAnsi" w:hAnsiTheme="minorHAnsi" w:cstheme="minorHAnsi"/>
          <w:sz w:val="22"/>
          <w:szCs w:val="22"/>
        </w:rPr>
        <w:t>AAA Foundation for Traffic Safety</w:t>
      </w:r>
      <w:r w:rsidR="00E07505" w:rsidRPr="00E07505">
        <w:rPr>
          <w:rFonts w:asciiTheme="minorHAnsi" w:hAnsiTheme="minorHAnsi" w:cstheme="minorHAnsi"/>
          <w:sz w:val="22"/>
          <w:szCs w:val="22"/>
        </w:rPr>
        <w:t xml:space="preserve">, </w:t>
      </w:r>
      <w:r w:rsidR="0026270A">
        <w:rPr>
          <w:rFonts w:asciiTheme="minorHAnsi" w:hAnsiTheme="minorHAnsi" w:cstheme="minorHAnsi"/>
          <w:sz w:val="22"/>
          <w:szCs w:val="22"/>
        </w:rPr>
        <w:t>supra note 1.</w:t>
      </w:r>
    </w:p>
    <w:p w14:paraId="366A6098" w14:textId="77777777" w:rsidR="00CC05F2" w:rsidRPr="00E07505" w:rsidRDefault="00CC05F2">
      <w:pPr>
        <w:pStyle w:val="FootnoteText"/>
        <w:rPr>
          <w:rFonts w:asciiTheme="minorHAnsi" w:hAnsiTheme="minorHAnsi" w:cstheme="minorHAnsi"/>
        </w:rPr>
      </w:pPr>
    </w:p>
  </w:footnote>
  <w:footnote w:id="6">
    <w:p w14:paraId="1AAA65B7" w14:textId="4152336D" w:rsidR="00CC05F2" w:rsidRDefault="00CC05F2">
      <w:pPr>
        <w:pStyle w:val="FootnoteText"/>
        <w:rPr>
          <w:rFonts w:asciiTheme="minorHAnsi" w:hAnsiTheme="minorHAnsi" w:cstheme="minorHAnsi"/>
          <w:sz w:val="22"/>
          <w:szCs w:val="22"/>
        </w:rPr>
      </w:pPr>
      <w:r w:rsidRPr="00E07505">
        <w:rPr>
          <w:rStyle w:val="FootnoteReference"/>
          <w:rFonts w:asciiTheme="minorHAnsi" w:hAnsiTheme="minorHAnsi" w:cstheme="minorHAnsi"/>
        </w:rPr>
        <w:footnoteRef/>
      </w:r>
      <w:r w:rsidRPr="00E07505">
        <w:rPr>
          <w:rFonts w:asciiTheme="minorHAnsi" w:hAnsiTheme="minorHAnsi" w:cstheme="minorHAnsi"/>
        </w:rPr>
        <w:t xml:space="preserve"> </w:t>
      </w:r>
      <w:r w:rsidRPr="00E07505">
        <w:rPr>
          <w:rFonts w:asciiTheme="minorHAnsi" w:hAnsiTheme="minorHAnsi" w:cstheme="minorHAnsi"/>
          <w:sz w:val="22"/>
          <w:szCs w:val="22"/>
        </w:rPr>
        <w:t>For further information about establishment and use of electronic warrants, see: Foundation for Advancing Alcohol Responsibility (2018). A Guide to Implementing Electronic Warrants (Research Brief). Arlington, VA, 22202</w:t>
      </w:r>
    </w:p>
    <w:p w14:paraId="33F836AD" w14:textId="77777777" w:rsidR="00E07505" w:rsidRDefault="00E07505">
      <w:pPr>
        <w:pStyle w:val="FootnoteText"/>
      </w:pPr>
    </w:p>
  </w:footnote>
  <w:footnote w:id="7">
    <w:p w14:paraId="4CA19D76" w14:textId="3780746E" w:rsidR="0026270A" w:rsidRDefault="0026270A">
      <w:pPr>
        <w:pStyle w:val="FootnoteText"/>
      </w:pPr>
      <w:r>
        <w:rPr>
          <w:rStyle w:val="FootnoteReference"/>
        </w:rPr>
        <w:footnoteRef/>
      </w:r>
      <w:r>
        <w:t xml:space="preserve"> </w:t>
      </w:r>
      <w:r w:rsidRPr="0026270A">
        <w:rPr>
          <w:sz w:val="22"/>
          <w:szCs w:val="22"/>
        </w:rPr>
        <w:t>Wagner, et al., supra note 2 and Flanagan, et al., supra note 3.</w:t>
      </w:r>
    </w:p>
    <w:p w14:paraId="42FF3585" w14:textId="77777777" w:rsidR="0026270A" w:rsidRDefault="0026270A">
      <w:pPr>
        <w:pStyle w:val="FootnoteText"/>
      </w:pPr>
    </w:p>
  </w:footnote>
  <w:footnote w:id="8">
    <w:p w14:paraId="3F125C12" w14:textId="5CD93CA9" w:rsidR="00E07505" w:rsidRDefault="00E07505">
      <w:pPr>
        <w:pStyle w:val="FootnoteText"/>
      </w:pPr>
      <w:r>
        <w:rPr>
          <w:rStyle w:val="FootnoteReference"/>
        </w:rPr>
        <w:footnoteRef/>
      </w:r>
      <w:r>
        <w:rPr>
          <w:rFonts w:eastAsia="Times New Roman"/>
          <w:color w:val="000000"/>
          <w:sz w:val="22"/>
          <w:szCs w:val="22"/>
        </w:rPr>
        <w:t xml:space="preserve"> U.S. Department of Transportation, National Transportation Safety Board. </w:t>
      </w:r>
      <w:r>
        <w:rPr>
          <w:rFonts w:eastAsia="Times New Roman"/>
          <w:i/>
          <w:iCs/>
          <w:color w:val="000000"/>
          <w:sz w:val="22"/>
          <w:szCs w:val="22"/>
        </w:rPr>
        <w:t xml:space="preserve">Alcohol, Other Drug, and Multiple Drug Use Among Drivers, </w:t>
      </w:r>
      <w:r>
        <w:rPr>
          <w:rFonts w:eastAsia="Times New Roman"/>
          <w:color w:val="000000"/>
          <w:sz w:val="22"/>
          <w:szCs w:val="22"/>
        </w:rPr>
        <w:t>Safety Research Report SRR-22-02.</w:t>
      </w:r>
      <w:r>
        <w:t xml:space="preserve"> </w:t>
      </w:r>
    </w:p>
    <w:p w14:paraId="574ADA36" w14:textId="77777777" w:rsidR="0026270A" w:rsidRDefault="0026270A">
      <w:pPr>
        <w:pStyle w:val="FootnoteText"/>
      </w:pPr>
    </w:p>
  </w:footnote>
  <w:footnote w:id="9">
    <w:p w14:paraId="18B93EDD" w14:textId="0A57B799" w:rsidR="0026270A" w:rsidRDefault="0026270A">
      <w:pPr>
        <w:pStyle w:val="FootnoteText"/>
      </w:pPr>
      <w:r>
        <w:rPr>
          <w:rStyle w:val="FootnoteReference"/>
        </w:rPr>
        <w:footnoteRef/>
      </w:r>
      <w:r>
        <w:t xml:space="preserve"> </w:t>
      </w:r>
      <w:r w:rsidRPr="00940042">
        <w:rPr>
          <w:sz w:val="22"/>
          <w:szCs w:val="22"/>
        </w:rPr>
        <w:t xml:space="preserve">Berning, A., R. C. Smith, M. Drexler, and K. </w:t>
      </w:r>
      <w:r w:rsidRPr="00940042">
        <w:rPr>
          <w:sz w:val="22"/>
          <w:szCs w:val="22"/>
        </w:rPr>
        <w:t>Wochinger. 2022. Drug Testing and Traffic Safety: What You Need to Know. DOT HS 813 264. Washington, DC: NHTSA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A4DDA"/>
    <w:multiLevelType w:val="hybridMultilevel"/>
    <w:tmpl w:val="BC0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674D1"/>
    <w:multiLevelType w:val="multilevel"/>
    <w:tmpl w:val="6EDA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7404292">
    <w:abstractNumId w:val="1"/>
  </w:num>
  <w:num w:numId="2" w16cid:durableId="54067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97"/>
    <w:rsid w:val="00000D8B"/>
    <w:rsid w:val="00024056"/>
    <w:rsid w:val="000425F8"/>
    <w:rsid w:val="0007758F"/>
    <w:rsid w:val="000944AE"/>
    <w:rsid w:val="000C7715"/>
    <w:rsid w:val="000F53F2"/>
    <w:rsid w:val="00135B8F"/>
    <w:rsid w:val="0018514F"/>
    <w:rsid w:val="00196F57"/>
    <w:rsid w:val="00220116"/>
    <w:rsid w:val="0026270A"/>
    <w:rsid w:val="002914E6"/>
    <w:rsid w:val="00296F75"/>
    <w:rsid w:val="00305236"/>
    <w:rsid w:val="003B461D"/>
    <w:rsid w:val="003D32A2"/>
    <w:rsid w:val="003F7ADD"/>
    <w:rsid w:val="0043626A"/>
    <w:rsid w:val="004C37F0"/>
    <w:rsid w:val="005B593D"/>
    <w:rsid w:val="005D2EB2"/>
    <w:rsid w:val="005F48A6"/>
    <w:rsid w:val="006030CC"/>
    <w:rsid w:val="00633497"/>
    <w:rsid w:val="0066610D"/>
    <w:rsid w:val="00670989"/>
    <w:rsid w:val="00701FF4"/>
    <w:rsid w:val="00755153"/>
    <w:rsid w:val="007B72FB"/>
    <w:rsid w:val="00806CF3"/>
    <w:rsid w:val="00892D2D"/>
    <w:rsid w:val="00940042"/>
    <w:rsid w:val="0098440D"/>
    <w:rsid w:val="00994DAA"/>
    <w:rsid w:val="009F3997"/>
    <w:rsid w:val="00A02949"/>
    <w:rsid w:val="00A17F2D"/>
    <w:rsid w:val="00A54F84"/>
    <w:rsid w:val="00AA1F6D"/>
    <w:rsid w:val="00BA04AA"/>
    <w:rsid w:val="00C21D24"/>
    <w:rsid w:val="00CA4B7F"/>
    <w:rsid w:val="00CB47BF"/>
    <w:rsid w:val="00CC05F2"/>
    <w:rsid w:val="00D025E9"/>
    <w:rsid w:val="00D44662"/>
    <w:rsid w:val="00DC7B32"/>
    <w:rsid w:val="00DE54FE"/>
    <w:rsid w:val="00DF45EA"/>
    <w:rsid w:val="00E07505"/>
    <w:rsid w:val="00E65804"/>
    <w:rsid w:val="00EA74D4"/>
    <w:rsid w:val="00EE0780"/>
    <w:rsid w:val="00F03488"/>
    <w:rsid w:val="00F0357A"/>
    <w:rsid w:val="00F60EAC"/>
    <w:rsid w:val="00F6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08821"/>
  <w15:chartTrackingRefBased/>
  <w15:docId w15:val="{E87971CC-C148-450E-A580-812BDB79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74"/>
    <w:pPr>
      <w:spacing w:after="0"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9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C37F0"/>
    <w:pPr>
      <w:spacing w:after="0" w:line="240" w:lineRule="auto"/>
    </w:pPr>
    <w:rPr>
      <w:rFonts w:ascii="Calibri" w:hAnsi="Calibri" w:cs="Calibri"/>
      <w:sz w:val="20"/>
      <w:szCs w:val="20"/>
    </w:rPr>
  </w:style>
  <w:style w:type="character" w:styleId="Hyperlink">
    <w:name w:val="Hyperlink"/>
    <w:basedOn w:val="DefaultParagraphFont"/>
    <w:uiPriority w:val="99"/>
    <w:unhideWhenUsed/>
    <w:rsid w:val="007B72FB"/>
    <w:rPr>
      <w:color w:val="0563C1" w:themeColor="hyperlink"/>
      <w:u w:val="single"/>
    </w:rPr>
  </w:style>
  <w:style w:type="character" w:styleId="UnresolvedMention">
    <w:name w:val="Unresolved Mention"/>
    <w:basedOn w:val="DefaultParagraphFont"/>
    <w:uiPriority w:val="99"/>
    <w:semiHidden/>
    <w:unhideWhenUsed/>
    <w:rsid w:val="007B72FB"/>
    <w:rPr>
      <w:color w:val="605E5C"/>
      <w:shd w:val="clear" w:color="auto" w:fill="E1DFDD"/>
    </w:rPr>
  </w:style>
  <w:style w:type="character" w:styleId="CommentReference">
    <w:name w:val="annotation reference"/>
    <w:basedOn w:val="DefaultParagraphFont"/>
    <w:uiPriority w:val="99"/>
    <w:semiHidden/>
    <w:unhideWhenUsed/>
    <w:rsid w:val="00CA4B7F"/>
    <w:rPr>
      <w:sz w:val="16"/>
      <w:szCs w:val="16"/>
    </w:rPr>
  </w:style>
  <w:style w:type="paragraph" w:styleId="CommentText">
    <w:name w:val="annotation text"/>
    <w:basedOn w:val="Normal"/>
    <w:link w:val="CommentTextChar"/>
    <w:uiPriority w:val="99"/>
    <w:unhideWhenUsed/>
    <w:rsid w:val="00CA4B7F"/>
  </w:style>
  <w:style w:type="character" w:customStyle="1" w:styleId="CommentTextChar">
    <w:name w:val="Comment Text Char"/>
    <w:basedOn w:val="DefaultParagraphFont"/>
    <w:link w:val="CommentText"/>
    <w:uiPriority w:val="99"/>
    <w:rsid w:val="00CA4B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4B7F"/>
    <w:rPr>
      <w:b/>
      <w:bCs/>
    </w:rPr>
  </w:style>
  <w:style w:type="character" w:customStyle="1" w:styleId="CommentSubjectChar">
    <w:name w:val="Comment Subject Char"/>
    <w:basedOn w:val="CommentTextChar"/>
    <w:link w:val="CommentSubject"/>
    <w:uiPriority w:val="99"/>
    <w:semiHidden/>
    <w:rsid w:val="00CA4B7F"/>
    <w:rPr>
      <w:rFonts w:ascii="Calibri" w:hAnsi="Calibri" w:cs="Calibri"/>
      <w:b/>
      <w:bCs/>
      <w:sz w:val="20"/>
      <w:szCs w:val="20"/>
    </w:rPr>
  </w:style>
  <w:style w:type="paragraph" w:styleId="FootnoteText">
    <w:name w:val="footnote text"/>
    <w:basedOn w:val="Normal"/>
    <w:link w:val="FootnoteTextChar"/>
    <w:uiPriority w:val="99"/>
    <w:semiHidden/>
    <w:unhideWhenUsed/>
    <w:rsid w:val="00CA4B7F"/>
  </w:style>
  <w:style w:type="character" w:customStyle="1" w:styleId="FootnoteTextChar">
    <w:name w:val="Footnote Text Char"/>
    <w:basedOn w:val="DefaultParagraphFont"/>
    <w:link w:val="FootnoteText"/>
    <w:uiPriority w:val="99"/>
    <w:semiHidden/>
    <w:rsid w:val="00CA4B7F"/>
    <w:rPr>
      <w:rFonts w:ascii="Calibri" w:hAnsi="Calibri" w:cs="Calibri"/>
      <w:sz w:val="20"/>
      <w:szCs w:val="20"/>
    </w:rPr>
  </w:style>
  <w:style w:type="character" w:styleId="FootnoteReference">
    <w:name w:val="footnote reference"/>
    <w:basedOn w:val="DefaultParagraphFont"/>
    <w:uiPriority w:val="99"/>
    <w:semiHidden/>
    <w:unhideWhenUsed/>
    <w:rsid w:val="00CA4B7F"/>
    <w:rPr>
      <w:vertAlign w:val="superscript"/>
    </w:rPr>
  </w:style>
  <w:style w:type="paragraph" w:styleId="Header">
    <w:name w:val="header"/>
    <w:basedOn w:val="Normal"/>
    <w:link w:val="HeaderChar"/>
    <w:uiPriority w:val="99"/>
    <w:semiHidden/>
    <w:unhideWhenUsed/>
    <w:rsid w:val="00806CF3"/>
    <w:pPr>
      <w:tabs>
        <w:tab w:val="center" w:pos="4680"/>
        <w:tab w:val="right" w:pos="9360"/>
      </w:tabs>
    </w:pPr>
  </w:style>
  <w:style w:type="character" w:customStyle="1" w:styleId="HeaderChar">
    <w:name w:val="Header Char"/>
    <w:basedOn w:val="DefaultParagraphFont"/>
    <w:link w:val="Header"/>
    <w:uiPriority w:val="99"/>
    <w:semiHidden/>
    <w:rsid w:val="00806CF3"/>
    <w:rPr>
      <w:rFonts w:ascii="Calibri" w:hAnsi="Calibri" w:cs="Calibri"/>
      <w:sz w:val="20"/>
      <w:szCs w:val="20"/>
    </w:rPr>
  </w:style>
  <w:style w:type="paragraph" w:styleId="Footer">
    <w:name w:val="footer"/>
    <w:basedOn w:val="Normal"/>
    <w:link w:val="FooterChar"/>
    <w:uiPriority w:val="99"/>
    <w:semiHidden/>
    <w:unhideWhenUsed/>
    <w:rsid w:val="00806CF3"/>
    <w:pPr>
      <w:tabs>
        <w:tab w:val="center" w:pos="4680"/>
        <w:tab w:val="right" w:pos="9360"/>
      </w:tabs>
    </w:pPr>
  </w:style>
  <w:style w:type="character" w:customStyle="1" w:styleId="FooterChar">
    <w:name w:val="Footer Char"/>
    <w:basedOn w:val="DefaultParagraphFont"/>
    <w:link w:val="Footer"/>
    <w:uiPriority w:val="99"/>
    <w:semiHidden/>
    <w:rsid w:val="00806CF3"/>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myers\AppData\Local\Microsoft\Windows\INetCache\Content.Outlook\UBET7H68\D'Orazio%20AL,%20Mohr%20ALA,%20Chan-Hosokawa%20A,%20Harper%20C,%20Huestis%20MA,%20Limoges%20JF,%20Miles%20AK,%20Scarneo%20CE,%20Kerrigan%20S,%20Liddicoat%20LJ,%20Scott%20KS,%20Logan%20BK.%20Recommendations%20for%20Toxicological%20Investigation%20of%20Drug-Impaired%20Driving%20and%20Motor%20Vehicle%20Fatalities-2021%20Update.%20J%20Anal%20Toxicol.%202021%20Jul%2010;45(6):529-536.%20doi:%2010.1093\jat\bkab064.%20PMID:%2034086916;%20PMCID:%20PMC827252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f51b4b-47f1-4e3b-a064-a1e52dfcf961">
      <Terms xmlns="http://schemas.microsoft.com/office/infopath/2007/PartnerControls"/>
    </lcf76f155ced4ddcb4097134ff3c332f>
    <_Flow_SignoffStatus xmlns="d1f51b4b-47f1-4e3b-a064-a1e52dfcf961" xsi:nil="true"/>
    <TaxCatchAll xmlns="bb67591a-a4e0-4be5-8606-6b03c8872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DCCF0BBFCB640886DBD6AA5C4DF7C" ma:contentTypeVersion="22" ma:contentTypeDescription="Create a new document." ma:contentTypeScope="" ma:versionID="1812e64fc0fefabb183cc4016e0a3814">
  <xsd:schema xmlns:xsd="http://www.w3.org/2001/XMLSchema" xmlns:xs="http://www.w3.org/2001/XMLSchema" xmlns:p="http://schemas.microsoft.com/office/2006/metadata/properties" xmlns:ns1="http://schemas.microsoft.com/sharepoint/v3" xmlns:ns2="d1f51b4b-47f1-4e3b-a064-a1e52dfcf961" xmlns:ns3="bb67591a-a4e0-4be5-8606-6b03c887204c" targetNamespace="http://schemas.microsoft.com/office/2006/metadata/properties" ma:root="true" ma:fieldsID="deb102e004a0df5c29e2b3d49c6fd434" ns1:_="" ns2:_="" ns3:_="">
    <xsd:import namespace="http://schemas.microsoft.com/sharepoint/v3"/>
    <xsd:import namespace="d1f51b4b-47f1-4e3b-a064-a1e52dfcf961"/>
    <xsd:import namespace="bb67591a-a4e0-4be5-8606-6b03c887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51b4b-47f1-4e3b-a064-a1e52dfcf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b2d66a-8a76-45f0-bdd8-73588bd3e2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7591a-a4e0-4be5-8606-6b03c88720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5b25a2b-8c2b-4d04-9457-f84f85fcc237}" ma:internalName="TaxCatchAll" ma:showField="CatchAllData" ma:web="bb67591a-a4e0-4be5-8606-6b03c887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D28B-F735-4593-8B90-25A30A968ADD}">
  <ds:schemaRefs>
    <ds:schemaRef ds:uri="http://schemas.microsoft.com/office/2006/metadata/properties"/>
    <ds:schemaRef ds:uri="http://schemas.microsoft.com/office/infopath/2007/PartnerControls"/>
    <ds:schemaRef ds:uri="http://schemas.microsoft.com/sharepoint/v3"/>
    <ds:schemaRef ds:uri="d1f51b4b-47f1-4e3b-a064-a1e52dfcf961"/>
    <ds:schemaRef ds:uri="bb67591a-a4e0-4be5-8606-6b03c887204c"/>
  </ds:schemaRefs>
</ds:datastoreItem>
</file>

<file path=customXml/itemProps2.xml><?xml version="1.0" encoding="utf-8"?>
<ds:datastoreItem xmlns:ds="http://schemas.openxmlformats.org/officeDocument/2006/customXml" ds:itemID="{DD8FDE5C-23A7-4A8E-BD96-E2D83E4E50FC}">
  <ds:schemaRefs>
    <ds:schemaRef ds:uri="http://schemas.microsoft.com/sharepoint/v3/contenttype/forms"/>
  </ds:schemaRefs>
</ds:datastoreItem>
</file>

<file path=customXml/itemProps3.xml><?xml version="1.0" encoding="utf-8"?>
<ds:datastoreItem xmlns:ds="http://schemas.openxmlformats.org/officeDocument/2006/customXml" ds:itemID="{229F68CA-5AA3-4BC5-9470-83B97BB5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f51b4b-47f1-4e3b-a064-a1e52dfcf961"/>
    <ds:schemaRef ds:uri="bb67591a-a4e0-4be5-8606-6b03c887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55D7C-9AB9-4A3D-9445-7F335660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742</Words>
  <Characters>4321</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Jennifer</dc:creator>
  <cp:keywords/>
  <dc:description/>
  <cp:lastModifiedBy>Andie Sodergren</cp:lastModifiedBy>
  <cp:revision>8</cp:revision>
  <dcterms:created xsi:type="dcterms:W3CDTF">2025-01-08T20:25:00Z</dcterms:created>
  <dcterms:modified xsi:type="dcterms:W3CDTF">2025-02-01T18:45:00Z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0x010100A31DCCF0BBFCB640886DBD6AA5C4DF7C</vt:lpwstr>
  </property>
</Properties>
</file>